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7"/>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49"/>
        <w:gridCol w:w="4828"/>
        <w:gridCol w:w="743"/>
      </w:tblGrid>
      <w:tr w:rsidR="00DB218F" w:rsidTr="00DB218F">
        <w:trPr>
          <w:gridAfter w:val="1"/>
          <w:wAfter w:w="743" w:type="dxa"/>
          <w:jc w:val="center"/>
        </w:trPr>
        <w:tc>
          <w:tcPr>
            <w:tcW w:w="8077" w:type="dxa"/>
            <w:gridSpan w:val="2"/>
          </w:tcPr>
          <w:p w:rsidR="00DB218F" w:rsidRDefault="00DB218F">
            <w:pPr>
              <w:rPr>
                <w:rFonts w:ascii="Arial" w:hAnsi="Arial"/>
                <w:b/>
                <w:bCs/>
              </w:rPr>
            </w:pPr>
            <w:bookmarkStart w:id="0" w:name="_GoBack"/>
            <w:bookmarkEnd w:id="0"/>
            <w:r>
              <w:rPr>
                <w:rFonts w:ascii="Arial" w:hAnsi="Arial"/>
                <w:b/>
                <w:bCs/>
                <w:rtl/>
              </w:rPr>
              <w:t>לפני כב' ה</w:t>
            </w:r>
            <w:sdt>
              <w:sdtPr>
                <w:rPr>
                  <w:rtl/>
                </w:rPr>
                <w:alias w:val="1574"/>
                <w:tag w:val="1574"/>
                <w:id w:val="490682261"/>
                <w:text w:multiLine="1"/>
              </w:sdtPr>
              <w:sdtEndPr/>
              <w:sdtContent>
                <w:r>
                  <w:rPr>
                    <w:rFonts w:ascii="Arial" w:hAnsi="Arial"/>
                    <w:b/>
                    <w:bCs/>
                    <w:rtl/>
                  </w:rPr>
                  <w:t>שופטת</w:t>
                </w:r>
              </w:sdtContent>
            </w:sdt>
            <w:r>
              <w:rPr>
                <w:rFonts w:ascii="Arial" w:hAnsi="Arial"/>
                <w:b/>
                <w:bCs/>
                <w:rtl/>
              </w:rPr>
              <w:t xml:space="preserve">  </w:t>
            </w:r>
            <w:sdt>
              <w:sdtPr>
                <w:rPr>
                  <w:rtl/>
                </w:rPr>
                <w:alias w:val="1573"/>
                <w:tag w:val="1573"/>
                <w:id w:val="-1842311034"/>
                <w:text w:multiLine="1"/>
              </w:sdtPr>
              <w:sdtEndPr/>
              <w:sdtContent>
                <w:r>
                  <w:rPr>
                    <w:rFonts w:ascii="Arial" w:hAnsi="Arial"/>
                    <w:b/>
                    <w:bCs/>
                    <w:rtl/>
                  </w:rPr>
                  <w:t>איריס אילוטוביץ' סגל</w:t>
                </w:r>
              </w:sdtContent>
            </w:sdt>
          </w:p>
          <w:p w:rsidR="00DB218F" w:rsidRDefault="00DB218F">
            <w:pPr>
              <w:rPr>
                <w:rFonts w:ascii="Arial" w:hAnsi="Arial" w:cs="FrankRuehl"/>
                <w:highlight w:val="yellow"/>
                <w:rtl/>
              </w:rPr>
            </w:pPr>
          </w:p>
        </w:tc>
      </w:tr>
      <w:tr w:rsidR="00DB218F" w:rsidTr="00DB218F">
        <w:trPr>
          <w:jc w:val="center"/>
        </w:trPr>
        <w:sdt>
          <w:sdtPr>
            <w:rPr>
              <w:rFonts w:ascii="Arial" w:hAnsi="Arial"/>
              <w:b/>
              <w:bCs/>
              <w:noProof w:val="0"/>
            </w:rPr>
            <w:alias w:val="1180"/>
            <w:tag w:val="1180"/>
            <w:id w:val="108787784"/>
            <w:placeholder>
              <w:docPart w:val="F3850737B7D248F0BBD3FC02E27C1ABE"/>
            </w:placeholder>
            <w:text w:multiLine="1"/>
          </w:sdtPr>
          <w:sdtEndPr/>
          <w:sdtContent>
            <w:tc>
              <w:tcPr>
                <w:tcW w:w="3249" w:type="dxa"/>
                <w:hideMark/>
              </w:tcPr>
              <w:p w:rsidR="00DB218F" w:rsidRPr="00DB218F" w:rsidRDefault="00DB218F" w:rsidP="00DB218F">
                <w:pPr>
                  <w:bidi w:val="0"/>
                  <w:ind w:firstLine="2140"/>
                  <w:rPr>
                    <w:rFonts w:ascii="Arial" w:hAnsi="Arial"/>
                    <w:b/>
                    <w:bCs/>
                    <w:noProof w:val="0"/>
                    <w:rtl/>
                  </w:rPr>
                </w:pPr>
                <w:r w:rsidRPr="00DB218F">
                  <w:rPr>
                    <w:rFonts w:ascii="Arial" w:hAnsi="Arial"/>
                    <w:b/>
                    <w:bCs/>
                    <w:noProof w:val="0"/>
                    <w:rtl/>
                  </w:rPr>
                  <w:t>תובע</w:t>
                </w:r>
              </w:p>
            </w:tc>
          </w:sdtContent>
        </w:sdt>
        <w:tc>
          <w:tcPr>
            <w:tcW w:w="5571" w:type="dxa"/>
            <w:gridSpan w:val="2"/>
            <w:hideMark/>
          </w:tcPr>
          <w:p w:rsidR="00DB218F" w:rsidRPr="00DB218F" w:rsidRDefault="00DB218F" w:rsidP="00DB218F">
            <w:pPr>
              <w:rPr>
                <w:b/>
                <w:bCs/>
                <w:noProof w:val="0"/>
              </w:rPr>
            </w:pPr>
            <w:r w:rsidRPr="00DB218F">
              <w:rPr>
                <w:b/>
                <w:bCs/>
                <w:noProof w:val="0"/>
                <w:rtl/>
              </w:rPr>
              <w:t xml:space="preserve"> </w:t>
            </w:r>
            <w:r w:rsidRPr="00DB218F">
              <w:rPr>
                <w:rStyle w:val="ad"/>
                <w:rFonts w:hint="cs"/>
                <w:b/>
                <w:bCs/>
                <w:color w:val="auto"/>
                <w:rtl/>
              </w:rPr>
              <w:t>י.פ.</w:t>
            </w:r>
          </w:p>
        </w:tc>
      </w:tr>
      <w:tr w:rsidR="00DB218F" w:rsidTr="00DB218F">
        <w:trPr>
          <w:jc w:val="center"/>
        </w:trPr>
        <w:tc>
          <w:tcPr>
            <w:tcW w:w="8820" w:type="dxa"/>
            <w:gridSpan w:val="3"/>
          </w:tcPr>
          <w:p w:rsidR="00DB218F" w:rsidRPr="00DB218F" w:rsidRDefault="00DB218F">
            <w:pPr>
              <w:rPr>
                <w:rFonts w:ascii="Arial" w:hAnsi="Arial"/>
                <w:b/>
                <w:bCs/>
                <w:noProof w:val="0"/>
              </w:rPr>
            </w:pPr>
          </w:p>
          <w:p w:rsidR="00DB218F" w:rsidRPr="00DB218F" w:rsidRDefault="00DB218F">
            <w:pPr>
              <w:jc w:val="center"/>
              <w:rPr>
                <w:rFonts w:ascii="Arial" w:hAnsi="Arial"/>
                <w:b/>
                <w:bCs/>
                <w:noProof w:val="0"/>
                <w:rtl/>
              </w:rPr>
            </w:pPr>
            <w:r w:rsidRPr="00DB218F">
              <w:rPr>
                <w:rFonts w:ascii="Arial" w:hAnsi="Arial"/>
                <w:b/>
                <w:bCs/>
                <w:noProof w:val="0"/>
                <w:rtl/>
              </w:rPr>
              <w:t>נגד</w:t>
            </w:r>
          </w:p>
          <w:p w:rsidR="00DB218F" w:rsidRPr="00DB218F" w:rsidRDefault="00DB218F">
            <w:pPr>
              <w:rPr>
                <w:rFonts w:ascii="Arial" w:hAnsi="Arial"/>
                <w:b/>
                <w:bCs/>
                <w:noProof w:val="0"/>
                <w:rtl/>
              </w:rPr>
            </w:pPr>
          </w:p>
        </w:tc>
      </w:tr>
      <w:tr w:rsidR="00DB218F" w:rsidTr="00DB218F">
        <w:trPr>
          <w:jc w:val="center"/>
        </w:trPr>
        <w:tc>
          <w:tcPr>
            <w:tcW w:w="3249" w:type="dxa"/>
            <w:hideMark/>
          </w:tcPr>
          <w:p w:rsidR="00DB218F" w:rsidRPr="00DB218F" w:rsidRDefault="005C794D" w:rsidP="00DB218F">
            <w:pPr>
              <w:ind w:firstLine="478"/>
              <w:rPr>
                <w:rFonts w:ascii="Arial" w:hAnsi="Arial"/>
                <w:b/>
                <w:bCs/>
                <w:noProof w:val="0"/>
              </w:rPr>
            </w:pPr>
            <w:sdt>
              <w:sdtPr>
                <w:rPr>
                  <w:b/>
                  <w:bCs/>
                  <w:rtl/>
                </w:rPr>
                <w:alias w:val="1184"/>
                <w:tag w:val="1184"/>
                <w:id w:val="1218863978"/>
                <w:text w:multiLine="1"/>
              </w:sdtPr>
              <w:sdtEndPr/>
              <w:sdtContent>
                <w:r w:rsidR="00DB218F" w:rsidRPr="00DB218F">
                  <w:rPr>
                    <w:rFonts w:ascii="Arial" w:hAnsi="Arial"/>
                    <w:b/>
                    <w:bCs/>
                    <w:noProof w:val="0"/>
                    <w:rtl/>
                  </w:rPr>
                  <w:t>נתבע</w:t>
                </w:r>
              </w:sdtContent>
            </w:sdt>
          </w:p>
        </w:tc>
        <w:tc>
          <w:tcPr>
            <w:tcW w:w="5571" w:type="dxa"/>
            <w:gridSpan w:val="2"/>
            <w:hideMark/>
          </w:tcPr>
          <w:p w:rsidR="00DB218F" w:rsidRPr="00DB218F" w:rsidRDefault="00DB218F" w:rsidP="00DB218F">
            <w:pPr>
              <w:rPr>
                <w:b/>
                <w:bCs/>
                <w:noProof w:val="0"/>
              </w:rPr>
            </w:pPr>
            <w:r w:rsidRPr="00DB218F">
              <w:rPr>
                <w:b/>
                <w:bCs/>
                <w:noProof w:val="0"/>
                <w:rtl/>
              </w:rPr>
              <w:t xml:space="preserve"> </w:t>
            </w:r>
            <w:r w:rsidRPr="00DB218F">
              <w:rPr>
                <w:rStyle w:val="ad"/>
                <w:rFonts w:hint="cs"/>
                <w:b/>
                <w:bCs/>
                <w:color w:val="auto"/>
                <w:rtl/>
              </w:rPr>
              <w:t>א.פ.</w:t>
            </w:r>
          </w:p>
        </w:tc>
      </w:tr>
    </w:tbl>
    <w:p w:rsidR="00DB218F" w:rsidRDefault="00DB218F" w:rsidP="00DB218F">
      <w:pPr>
        <w:rPr>
          <w:rtl/>
        </w:rPr>
      </w:pPr>
    </w:p>
    <w:tbl>
      <w:tblPr>
        <w:tblStyle w:val="a7"/>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DB218F" w:rsidTr="00DB218F">
        <w:trPr>
          <w:jc w:val="center"/>
        </w:trPr>
        <w:tc>
          <w:tcPr>
            <w:tcW w:w="8820" w:type="dxa"/>
          </w:tcPr>
          <w:p w:rsidR="00DB218F" w:rsidRDefault="00DB218F">
            <w:pPr>
              <w:bidi w:val="0"/>
              <w:rPr>
                <w:rFonts w:ascii="Arial" w:hAnsi="Arial"/>
                <w:b/>
                <w:bCs/>
                <w:noProof w:val="0"/>
                <w:sz w:val="26"/>
                <w:szCs w:val="26"/>
                <w:u w:val="single"/>
              </w:rPr>
            </w:pPr>
          </w:p>
          <w:p w:rsidR="00DB218F" w:rsidRDefault="00DB218F">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DB218F" w:rsidRDefault="00DB218F" w:rsidP="00DB218F">
      <w:pPr>
        <w:spacing w:line="360" w:lineRule="auto"/>
        <w:jc w:val="both"/>
        <w:rPr>
          <w:rFonts w:ascii="Arial" w:hAnsi="Arial"/>
          <w:noProof w:val="0"/>
        </w:rPr>
      </w:pPr>
    </w:p>
    <w:p w:rsidR="00DB218F" w:rsidRDefault="00DB218F" w:rsidP="00DB218F">
      <w:pPr>
        <w:spacing w:after="240" w:line="360" w:lineRule="auto"/>
        <w:ind w:firstLine="567"/>
        <w:jc w:val="both"/>
        <w:rPr>
          <w:rFonts w:ascii="Arial" w:hAnsi="Arial"/>
          <w:noProof w:val="0"/>
          <w:rtl/>
        </w:rPr>
      </w:pPr>
      <w:r>
        <w:rPr>
          <w:rFonts w:ascii="Arial" w:hAnsi="Arial"/>
          <w:b/>
          <w:bCs/>
          <w:noProof w:val="0"/>
          <w:rtl/>
        </w:rPr>
        <w:t>לפניי תובענה, למתן פסק דין הצהרתי הקובע כי 3/4 מהזכויות בדירה, מושא המחלוקת שייכות לתובע, וכי לנתבע אין זכות להירשם כבעל הזכויות בדירה, חרף הסכם מתנה שנערך לטובתו על ידי סבתו המנוחה</w:t>
      </w:r>
      <w:r>
        <w:rPr>
          <w:rFonts w:ascii="Arial" w:hAnsi="Arial"/>
          <w:noProof w:val="0"/>
          <w:rtl/>
        </w:rPr>
        <w:t xml:space="preserve">. </w:t>
      </w:r>
    </w:p>
    <w:p w:rsidR="00DB218F" w:rsidRDefault="00DB218F" w:rsidP="00DB218F">
      <w:pPr>
        <w:spacing w:after="240" w:line="360" w:lineRule="auto"/>
        <w:ind w:firstLine="720"/>
        <w:jc w:val="both"/>
        <w:rPr>
          <w:rFonts w:ascii="David" w:eastAsia="Calibri" w:hAnsi="David"/>
          <w:b/>
          <w:bCs/>
          <w:noProof w:val="0"/>
          <w:rtl/>
        </w:rPr>
      </w:pPr>
      <w:r>
        <w:rPr>
          <w:rFonts w:ascii="David" w:eastAsia="Calibri" w:hAnsi="David"/>
          <w:b/>
          <w:bCs/>
          <w:noProof w:val="0"/>
          <w:rtl/>
        </w:rPr>
        <w:t xml:space="preserve">האם חתימת המנוחה על הסכם המתנה מזויפת? האם המנוחה הייתה כשירה לערוך את הסכם המתנה במועד עריכתו? </w:t>
      </w:r>
    </w:p>
    <w:p w:rsidR="00DB218F" w:rsidRDefault="00DB218F" w:rsidP="00DB218F">
      <w:pPr>
        <w:spacing w:after="240" w:line="360" w:lineRule="auto"/>
        <w:jc w:val="both"/>
        <w:rPr>
          <w:rFonts w:ascii="David" w:eastAsia="Calibri" w:hAnsi="David"/>
          <w:b/>
          <w:bCs/>
          <w:noProof w:val="0"/>
        </w:rPr>
      </w:pPr>
      <w:r>
        <w:rPr>
          <w:rFonts w:ascii="David" w:eastAsia="Calibri" w:hAnsi="David"/>
          <w:b/>
          <w:bCs/>
          <w:noProof w:val="0"/>
          <w:rtl/>
        </w:rPr>
        <w:t>בשאלות אילו ועוד יש להכריע.</w:t>
      </w:r>
    </w:p>
    <w:p w:rsidR="00DB218F" w:rsidRDefault="00DB218F" w:rsidP="00DB218F">
      <w:pPr>
        <w:spacing w:after="120" w:line="360" w:lineRule="auto"/>
        <w:jc w:val="both"/>
        <w:rPr>
          <w:rFonts w:ascii="Arial" w:hAnsi="Arial"/>
          <w:b/>
          <w:bCs/>
          <w:noProof w:val="0"/>
          <w:sz w:val="28"/>
          <w:szCs w:val="28"/>
          <w:u w:val="single"/>
          <w:rtl/>
        </w:rPr>
      </w:pPr>
      <w:r>
        <w:rPr>
          <w:rFonts w:ascii="Arial" w:hAnsi="Arial"/>
          <w:b/>
          <w:bCs/>
          <w:noProof w:val="0"/>
          <w:sz w:val="28"/>
          <w:szCs w:val="28"/>
          <w:u w:val="single"/>
          <w:rtl/>
        </w:rPr>
        <w:t>רקע עובדתי רלוונטי והשתלשלות ההליך</w:t>
      </w:r>
    </w:p>
    <w:p w:rsidR="00DB218F" w:rsidRDefault="00DB218F" w:rsidP="00DB218F">
      <w:pPr>
        <w:pStyle w:val="a9"/>
        <w:numPr>
          <w:ilvl w:val="0"/>
          <w:numId w:val="4"/>
        </w:numPr>
        <w:spacing w:after="240" w:line="360" w:lineRule="auto"/>
        <w:ind w:left="0" w:firstLine="0"/>
        <w:contextualSpacing w:val="0"/>
        <w:jc w:val="both"/>
        <w:rPr>
          <w:rFonts w:ascii="Arial" w:hAnsi="Arial"/>
          <w:noProof w:val="0"/>
          <w:rtl/>
        </w:rPr>
      </w:pPr>
      <w:r>
        <w:rPr>
          <w:rFonts w:ascii="Arial" w:hAnsi="Arial"/>
          <w:noProof w:val="0"/>
          <w:rtl/>
        </w:rPr>
        <w:t>הדירה מושא המחלוקת נמצאת בתל אביב</w:t>
      </w:r>
      <w:r>
        <w:rPr>
          <w:rFonts w:ascii="Arial" w:hAnsi="Arial" w:hint="cs"/>
          <w:noProof w:val="0"/>
          <w:rtl/>
        </w:rPr>
        <w:t xml:space="preserve"> </w:t>
      </w:r>
      <w:r>
        <w:rPr>
          <w:rFonts w:ascii="Arial" w:hAnsi="Arial"/>
          <w:noProof w:val="0"/>
          <w:rtl/>
        </w:rPr>
        <w:t xml:space="preserve">(להלן: </w:t>
      </w:r>
      <w:r>
        <w:rPr>
          <w:rFonts w:ascii="Arial" w:hAnsi="Arial"/>
          <w:b/>
          <w:bCs/>
          <w:noProof w:val="0"/>
          <w:rtl/>
        </w:rPr>
        <w:t>"הדירה"</w:t>
      </w:r>
      <w:r>
        <w:rPr>
          <w:rFonts w:ascii="Arial" w:hAnsi="Arial"/>
          <w:noProof w:val="0"/>
          <w:rtl/>
        </w:rPr>
        <w:t>).</w:t>
      </w:r>
    </w:p>
    <w:p w:rsidR="00DB218F" w:rsidRDefault="00DB218F" w:rsidP="00DB218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זכויות הבעלות בדירה רשומות על שם חברת מ</w:t>
      </w:r>
      <w:r>
        <w:rPr>
          <w:rFonts w:ascii="Arial" w:hAnsi="Arial" w:hint="cs"/>
          <w:noProof w:val="0"/>
          <w:rtl/>
        </w:rPr>
        <w:t>'</w:t>
      </w:r>
      <w:r>
        <w:rPr>
          <w:rFonts w:ascii="Arial" w:hAnsi="Arial"/>
          <w:noProof w:val="0"/>
          <w:rtl/>
        </w:rPr>
        <w:t xml:space="preserve"> בע"מ (להלן: </w:t>
      </w:r>
      <w:r>
        <w:rPr>
          <w:rFonts w:ascii="Arial" w:hAnsi="Arial"/>
          <w:b/>
          <w:bCs/>
          <w:noProof w:val="0"/>
          <w:rtl/>
        </w:rPr>
        <w:t>"חברת מ</w:t>
      </w:r>
      <w:r>
        <w:rPr>
          <w:rFonts w:ascii="Arial" w:hAnsi="Arial" w:hint="cs"/>
          <w:b/>
          <w:bCs/>
          <w:noProof w:val="0"/>
          <w:rtl/>
        </w:rPr>
        <w:t xml:space="preserve">' </w:t>
      </w:r>
      <w:r>
        <w:rPr>
          <w:rFonts w:ascii="Arial" w:hAnsi="Arial"/>
          <w:b/>
          <w:bCs/>
          <w:noProof w:val="0"/>
          <w:rtl/>
        </w:rPr>
        <w:t>"</w:t>
      </w:r>
      <w:r>
        <w:rPr>
          <w:rFonts w:ascii="Arial" w:hAnsi="Arial"/>
          <w:noProof w:val="0"/>
          <w:rtl/>
        </w:rPr>
        <w:t>). זכויות החכירה בדירה לתקופה של 999 שנים רשומות על שמה של הגברת ל</w:t>
      </w:r>
      <w:r>
        <w:rPr>
          <w:rFonts w:ascii="Arial" w:hAnsi="Arial" w:hint="cs"/>
          <w:noProof w:val="0"/>
          <w:rtl/>
        </w:rPr>
        <w:t xml:space="preserve">.פ. </w:t>
      </w:r>
      <w:r>
        <w:rPr>
          <w:rFonts w:ascii="Arial" w:hAnsi="Arial"/>
          <w:noProof w:val="0"/>
          <w:rtl/>
        </w:rPr>
        <w:t xml:space="preserve">ז"ל (להלן: </w:t>
      </w:r>
      <w:r>
        <w:rPr>
          <w:rFonts w:ascii="Arial" w:hAnsi="Arial"/>
          <w:b/>
          <w:bCs/>
          <w:noProof w:val="0"/>
          <w:rtl/>
        </w:rPr>
        <w:t>"המנוחה"</w:t>
      </w:r>
      <w:r>
        <w:rPr>
          <w:rFonts w:ascii="Arial" w:hAnsi="Arial"/>
          <w:noProof w:val="0"/>
          <w:rtl/>
        </w:rPr>
        <w:t>).</w:t>
      </w:r>
    </w:p>
    <w:p w:rsidR="00DB218F" w:rsidRDefault="00DB218F" w:rsidP="00DB218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למנוחה נולדו ארבעה ילדים: </w:t>
      </w:r>
      <w:r>
        <w:rPr>
          <w:rFonts w:ascii="Arial" w:hAnsi="Arial" w:hint="cs"/>
          <w:noProof w:val="0"/>
          <w:rtl/>
        </w:rPr>
        <w:t>י.פ.</w:t>
      </w:r>
      <w:r>
        <w:rPr>
          <w:rFonts w:ascii="Arial" w:hAnsi="Arial"/>
          <w:noProof w:val="0"/>
          <w:rtl/>
        </w:rPr>
        <w:t xml:space="preserve"> – התובע (להלן: </w:t>
      </w:r>
      <w:r>
        <w:rPr>
          <w:rFonts w:ascii="Arial" w:hAnsi="Arial"/>
          <w:b/>
          <w:bCs/>
          <w:noProof w:val="0"/>
          <w:rtl/>
        </w:rPr>
        <w:t>"י</w:t>
      </w:r>
      <w:r>
        <w:rPr>
          <w:rFonts w:ascii="Arial" w:hAnsi="Arial" w:hint="cs"/>
          <w:b/>
          <w:bCs/>
          <w:noProof w:val="0"/>
          <w:rtl/>
        </w:rPr>
        <w:t>.פ.</w:t>
      </w:r>
      <w:r>
        <w:rPr>
          <w:rFonts w:ascii="Arial" w:hAnsi="Arial"/>
          <w:b/>
          <w:bCs/>
          <w:noProof w:val="0"/>
          <w:rtl/>
        </w:rPr>
        <w:t>"/"התובע"</w:t>
      </w:r>
      <w:r>
        <w:rPr>
          <w:rFonts w:ascii="Arial" w:hAnsi="Arial"/>
          <w:noProof w:val="0"/>
          <w:rtl/>
        </w:rPr>
        <w:t>), ד</w:t>
      </w:r>
      <w:r>
        <w:rPr>
          <w:rFonts w:ascii="Arial" w:hAnsi="Arial" w:hint="cs"/>
          <w:noProof w:val="0"/>
          <w:rtl/>
        </w:rPr>
        <w:t>'</w:t>
      </w:r>
      <w:r>
        <w:rPr>
          <w:rFonts w:ascii="Arial" w:hAnsi="Arial"/>
          <w:noProof w:val="0"/>
          <w:rtl/>
        </w:rPr>
        <w:t xml:space="preserve"> (להלן: </w:t>
      </w:r>
      <w:r>
        <w:rPr>
          <w:rFonts w:ascii="Arial" w:hAnsi="Arial"/>
          <w:b/>
          <w:bCs/>
          <w:noProof w:val="0"/>
          <w:rtl/>
        </w:rPr>
        <w:t>"</w:t>
      </w:r>
      <w:r>
        <w:rPr>
          <w:rFonts w:ascii="Arial" w:hAnsi="Arial" w:hint="cs"/>
          <w:b/>
          <w:bCs/>
          <w:noProof w:val="0"/>
          <w:rtl/>
        </w:rPr>
        <w:t>ד'</w:t>
      </w:r>
      <w:r>
        <w:rPr>
          <w:rFonts w:ascii="Arial" w:hAnsi="Arial"/>
          <w:b/>
          <w:bCs/>
          <w:noProof w:val="0"/>
          <w:rtl/>
        </w:rPr>
        <w:t>"</w:t>
      </w:r>
      <w:r>
        <w:rPr>
          <w:rFonts w:ascii="Arial" w:hAnsi="Arial"/>
          <w:noProof w:val="0"/>
          <w:rtl/>
        </w:rPr>
        <w:t xml:space="preserve">), </w:t>
      </w:r>
      <w:r>
        <w:rPr>
          <w:rFonts w:ascii="Arial" w:hAnsi="Arial" w:hint="cs"/>
          <w:noProof w:val="0"/>
          <w:rtl/>
        </w:rPr>
        <w:t>פ'</w:t>
      </w:r>
      <w:r>
        <w:rPr>
          <w:rFonts w:ascii="Arial" w:hAnsi="Arial"/>
          <w:noProof w:val="0"/>
          <w:rtl/>
        </w:rPr>
        <w:t xml:space="preserve"> (להלן: </w:t>
      </w:r>
      <w:r>
        <w:rPr>
          <w:rFonts w:ascii="Arial" w:hAnsi="Arial"/>
          <w:b/>
          <w:bCs/>
          <w:noProof w:val="0"/>
          <w:rtl/>
        </w:rPr>
        <w:t>"</w:t>
      </w:r>
      <w:r>
        <w:rPr>
          <w:rFonts w:ascii="Arial" w:hAnsi="Arial" w:hint="cs"/>
          <w:b/>
          <w:bCs/>
          <w:noProof w:val="0"/>
          <w:rtl/>
        </w:rPr>
        <w:t>פ'</w:t>
      </w:r>
      <w:r>
        <w:rPr>
          <w:rFonts w:ascii="Arial" w:hAnsi="Arial"/>
          <w:b/>
          <w:bCs/>
          <w:noProof w:val="0"/>
          <w:rtl/>
        </w:rPr>
        <w:t>"</w:t>
      </w:r>
      <w:r>
        <w:rPr>
          <w:rFonts w:ascii="Arial" w:hAnsi="Arial"/>
          <w:noProof w:val="0"/>
          <w:rtl/>
        </w:rPr>
        <w:t xml:space="preserve">) </w:t>
      </w:r>
      <w:r>
        <w:rPr>
          <w:rFonts w:ascii="Arial" w:hAnsi="Arial" w:hint="cs"/>
          <w:noProof w:val="0"/>
          <w:rtl/>
        </w:rPr>
        <w:t>ו-ר'</w:t>
      </w:r>
      <w:r>
        <w:rPr>
          <w:rFonts w:ascii="Arial" w:hAnsi="Arial"/>
          <w:noProof w:val="0"/>
          <w:rtl/>
        </w:rPr>
        <w:t xml:space="preserve"> ז"ל (להלן: </w:t>
      </w:r>
      <w:r>
        <w:rPr>
          <w:rFonts w:ascii="Arial" w:hAnsi="Arial"/>
          <w:b/>
          <w:bCs/>
          <w:noProof w:val="0"/>
          <w:rtl/>
        </w:rPr>
        <w:t>"</w:t>
      </w:r>
      <w:r>
        <w:rPr>
          <w:rFonts w:ascii="Arial" w:hAnsi="Arial" w:hint="cs"/>
          <w:b/>
          <w:bCs/>
          <w:noProof w:val="0"/>
          <w:rtl/>
        </w:rPr>
        <w:t>ר'</w:t>
      </w:r>
      <w:r>
        <w:rPr>
          <w:rFonts w:ascii="Arial" w:hAnsi="Arial"/>
          <w:b/>
          <w:bCs/>
          <w:noProof w:val="0"/>
          <w:rtl/>
        </w:rPr>
        <w:t xml:space="preserve"> ז"ל"</w:t>
      </w:r>
      <w:r>
        <w:rPr>
          <w:rFonts w:ascii="Arial" w:hAnsi="Arial"/>
          <w:noProof w:val="0"/>
          <w:rtl/>
        </w:rPr>
        <w:t xml:space="preserve">). </w:t>
      </w:r>
    </w:p>
    <w:p w:rsidR="00DB218F" w:rsidRDefault="00DB218F" w:rsidP="00DB218F">
      <w:pPr>
        <w:pStyle w:val="a9"/>
        <w:numPr>
          <w:ilvl w:val="0"/>
          <w:numId w:val="4"/>
        </w:numPr>
        <w:spacing w:after="240" w:line="360" w:lineRule="auto"/>
        <w:ind w:left="0" w:firstLine="0"/>
        <w:jc w:val="both"/>
        <w:rPr>
          <w:rFonts w:ascii="Arial" w:hAnsi="Arial"/>
          <w:noProof w:val="0"/>
        </w:rPr>
      </w:pPr>
      <w:r>
        <w:rPr>
          <w:rFonts w:ascii="Arial" w:hAnsi="Arial" w:hint="cs"/>
          <w:noProof w:val="0"/>
          <w:rtl/>
        </w:rPr>
        <w:t>א.פ.</w:t>
      </w:r>
      <w:r>
        <w:rPr>
          <w:rFonts w:ascii="Arial" w:hAnsi="Arial"/>
          <w:noProof w:val="0"/>
          <w:rtl/>
        </w:rPr>
        <w:t xml:space="preserve"> – הנתבע (להלן: </w:t>
      </w:r>
      <w:r>
        <w:rPr>
          <w:rFonts w:ascii="Arial" w:hAnsi="Arial" w:hint="cs"/>
          <w:b/>
          <w:bCs/>
          <w:noProof w:val="0"/>
          <w:rtl/>
        </w:rPr>
        <w:t>"א.פ."</w:t>
      </w:r>
      <w:r>
        <w:rPr>
          <w:rFonts w:ascii="Arial" w:hAnsi="Arial"/>
          <w:b/>
          <w:bCs/>
          <w:noProof w:val="0"/>
          <w:rtl/>
        </w:rPr>
        <w:t>/"הנתבע</w:t>
      </w:r>
      <w:r>
        <w:rPr>
          <w:rFonts w:ascii="Arial" w:hAnsi="Arial"/>
          <w:noProof w:val="0"/>
          <w:rtl/>
        </w:rPr>
        <w:t>") הוא בנו של ד</w:t>
      </w:r>
      <w:r>
        <w:rPr>
          <w:rFonts w:ascii="Arial" w:hAnsi="Arial" w:hint="cs"/>
          <w:noProof w:val="0"/>
          <w:rtl/>
        </w:rPr>
        <w:t>.פ.</w:t>
      </w:r>
      <w:r>
        <w:rPr>
          <w:rFonts w:ascii="Arial" w:hAnsi="Arial"/>
          <w:noProof w:val="0"/>
          <w:rtl/>
        </w:rPr>
        <w:t xml:space="preserve"> ונכדה של המנוחה. לשם הנוחות להלן תרשים הצדדים:</w:t>
      </w:r>
    </w:p>
    <w:p w:rsidR="00DB218F" w:rsidRDefault="00DB218F" w:rsidP="00DB218F">
      <w:pPr>
        <w:pStyle w:val="a9"/>
        <w:spacing w:after="240" w:line="360" w:lineRule="auto"/>
        <w:ind w:left="0"/>
        <w:jc w:val="both"/>
        <w:rPr>
          <w:rFonts w:ascii="Arial" w:hAnsi="Arial"/>
          <w:noProof w:val="0"/>
        </w:rPr>
      </w:pPr>
      <w:r>
        <mc:AlternateContent>
          <mc:Choice Requires="wps">
            <w:drawing>
              <wp:anchor distT="0" distB="0" distL="114300" distR="114300" simplePos="0" relativeHeight="251651584" behindDoc="0" locked="0" layoutInCell="1" allowOverlap="1">
                <wp:simplePos x="0" y="0"/>
                <wp:positionH relativeFrom="column">
                  <wp:posOffset>1292225</wp:posOffset>
                </wp:positionH>
                <wp:positionV relativeFrom="paragraph">
                  <wp:posOffset>198755</wp:posOffset>
                </wp:positionV>
                <wp:extent cx="526415" cy="172720"/>
                <wp:effectExtent l="38100" t="0" r="26035" b="74930"/>
                <wp:wrapNone/>
                <wp:docPr id="38" name="מחבר חץ ישר 38"/>
                <wp:cNvGraphicFramePr/>
                <a:graphic xmlns:a="http://schemas.openxmlformats.org/drawingml/2006/main">
                  <a:graphicData uri="http://schemas.microsoft.com/office/word/2010/wordprocessingShape">
                    <wps:wsp>
                      <wps:cNvCnPr/>
                      <wps:spPr>
                        <a:xfrm flipH="1">
                          <a:off x="0" y="0"/>
                          <a:ext cx="525780" cy="1720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17DEA6C0" id="_x0000_t32" coordsize="21600,21600" o:spt="32" o:oned="t" path="m,l21600,21600e" filled="f">
                <v:path arrowok="t" fillok="f" o:connecttype="none"/>
                <o:lock v:ext="edit" shapetype="t"/>
              </v:shapetype>
              <v:shape id="מחבר חץ ישר 38" o:spid="_x0000_s1026" type="#_x0000_t32" style="position:absolute;left:0;text-align:left;margin-left:101.75pt;margin-top:15.65pt;width:41.45pt;height:13.6pt;flip:x;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" strokecolor="black [3040]">
                <v:stroke endarrow="block"/>
              </v:shape>
            </w:pict>
          </mc:Fallback>
        </mc:AlternateContent>
      </w:r>
      <w:r>
        <mc:AlternateContent>
          <mc:Choice Requires="wps">
            <w:drawing>
              <wp:anchor distT="0" distB="0" distL="114300" distR="114300" simplePos="0" relativeHeight="251652608" behindDoc="0" locked="0" layoutInCell="1" allowOverlap="1">
                <wp:simplePos x="0" y="0"/>
                <wp:positionH relativeFrom="column">
                  <wp:posOffset>2369820</wp:posOffset>
                </wp:positionH>
                <wp:positionV relativeFrom="paragraph">
                  <wp:posOffset>310515</wp:posOffset>
                </wp:positionV>
                <wp:extent cx="0" cy="129540"/>
                <wp:effectExtent l="76200" t="0" r="57150" b="60960"/>
                <wp:wrapNone/>
                <wp:docPr id="40" name="מחבר חץ ישר 40"/>
                <wp:cNvGraphicFramePr/>
                <a:graphic xmlns:a="http://schemas.openxmlformats.org/drawingml/2006/main">
                  <a:graphicData uri="http://schemas.microsoft.com/office/word/2010/wordprocessingShape">
                    <wps:wsp>
                      <wps:cNvCnPr/>
                      <wps:spPr>
                        <a:xfrm>
                          <a:off x="0" y="0"/>
                          <a:ext cx="0" cy="1289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2D4D5CF" id="מחבר חץ ישר 40" o:spid="_x0000_s1026" type="#_x0000_t32" style="position:absolute;left:0;text-align:left;margin-left:186.6pt;margin-top:24.45pt;width:0;height:10.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" strokecolor="black [3040]">
                <v:stroke endarrow="block"/>
              </v:shape>
            </w:pict>
          </mc:Fallback>
        </mc:AlternateContent>
      </w:r>
      <w:r>
        <mc:AlternateContent>
          <mc:Choice Requires="wps">
            <w:drawing>
              <wp:anchor distT="0" distB="0" distL="114300" distR="114300" simplePos="0" relativeHeight="251653632" behindDoc="0" locked="0" layoutInCell="1" allowOverlap="1">
                <wp:simplePos x="0" y="0"/>
                <wp:positionH relativeFrom="column">
                  <wp:posOffset>3198495</wp:posOffset>
                </wp:positionH>
                <wp:positionV relativeFrom="paragraph">
                  <wp:posOffset>319405</wp:posOffset>
                </wp:positionV>
                <wp:extent cx="43180" cy="120015"/>
                <wp:effectExtent l="38100" t="0" r="52070" b="51435"/>
                <wp:wrapNone/>
                <wp:docPr id="41" name="מחבר חץ ישר 41"/>
                <wp:cNvGraphicFramePr/>
                <a:graphic xmlns:a="http://schemas.openxmlformats.org/drawingml/2006/main">
                  <a:graphicData uri="http://schemas.microsoft.com/office/word/2010/wordprocessingShape">
                    <wps:wsp>
                      <wps:cNvCnPr/>
                      <wps:spPr>
                        <a:xfrm>
                          <a:off x="0" y="0"/>
                          <a:ext cx="42545" cy="1200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3FCBFE2" id="מחבר חץ ישר 41" o:spid="_x0000_s1026" type="#_x0000_t32" style="position:absolute;left:0;text-align:left;margin-left:251.85pt;margin-top:25.15pt;width:3.4pt;height:9.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" strokecolor="black [3040]">
                <v:stroke endarrow="block"/>
              </v:shape>
            </w:pict>
          </mc:Fallback>
        </mc:AlternateContent>
      </w:r>
      <w:r>
        <mc:AlternateContent>
          <mc:Choice Requires="wps">
            <w:drawing>
              <wp:anchor distT="0" distB="0" distL="114300" distR="114300" simplePos="0" relativeHeight="251654656" behindDoc="0" locked="0" layoutInCell="1" allowOverlap="1">
                <wp:simplePos x="0" y="0"/>
                <wp:positionH relativeFrom="column">
                  <wp:posOffset>3535045</wp:posOffset>
                </wp:positionH>
                <wp:positionV relativeFrom="paragraph">
                  <wp:posOffset>241300</wp:posOffset>
                </wp:positionV>
                <wp:extent cx="483235" cy="163830"/>
                <wp:effectExtent l="0" t="0" r="69215" b="64770"/>
                <wp:wrapNone/>
                <wp:docPr id="39" name="מחבר חץ ישר 39"/>
                <wp:cNvGraphicFramePr/>
                <a:graphic xmlns:a="http://schemas.openxmlformats.org/drawingml/2006/main">
                  <a:graphicData uri="http://schemas.microsoft.com/office/word/2010/wordprocessingShape">
                    <wps:wsp>
                      <wps:cNvCnPr/>
                      <wps:spPr>
                        <a:xfrm>
                          <a:off x="0" y="0"/>
                          <a:ext cx="482600" cy="1638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B78C9EE" id="מחבר חץ ישר 39" o:spid="_x0000_s1026" type="#_x0000_t32" style="position:absolute;left:0;text-align:left;margin-left:278.35pt;margin-top:19pt;width:38.05pt;height:12.9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" strokecolor="black [3040]">
                <v:stroke endarrow="block"/>
              </v:shape>
            </w:pict>
          </mc:Fallback>
        </mc:AlternateContent>
      </w:r>
      <w:r>
        <mc:AlternateContent>
          <mc:Choice Requires="wps">
            <w:drawing>
              <wp:anchor distT="45720" distB="45720" distL="114300" distR="114300" simplePos="0" relativeHeight="251655680" behindDoc="0" locked="0" layoutInCell="1" allowOverlap="1">
                <wp:simplePos x="0" y="0"/>
                <wp:positionH relativeFrom="column">
                  <wp:posOffset>2134870</wp:posOffset>
                </wp:positionH>
                <wp:positionV relativeFrom="paragraph">
                  <wp:posOffset>8255</wp:posOffset>
                </wp:positionV>
                <wp:extent cx="1214120" cy="260985"/>
                <wp:effectExtent l="0" t="0" r="24130" b="16510"/>
                <wp:wrapSquare wrapText="bothSides"/>
                <wp:docPr id="217" name="תיבת טקסט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1214120" cy="250190"/>
                        </a:xfrm>
                        <a:prstGeom prst="rect">
                          <a:avLst/>
                        </a:prstGeom>
                        <a:solidFill>
                          <a:schemeClr val="accent4">
                            <a:lumMod val="60000"/>
                            <a:lumOff val="40000"/>
                          </a:schemeClr>
                        </a:solidFill>
                        <a:ln w="9525">
                          <a:solidFill>
                            <a:srgbClr val="000000"/>
                          </a:solidFill>
                          <a:miter lim="800000"/>
                          <a:headEnd/>
                          <a:tailEnd/>
                        </a:ln>
                      </wps:spPr>
                      <wps:txbx>
                        <w:txbxContent>
                          <w:p w:rsidR="00DB218F" w:rsidRDefault="00DB218F" w:rsidP="00DB218F">
                            <w:pPr>
                              <w:jc w:val="center"/>
                              <w:rPr>
                                <w:b/>
                                <w:bCs/>
                              </w:rPr>
                            </w:pPr>
                            <w:r>
                              <w:rPr>
                                <w:rFonts w:hint="cs"/>
                                <w:b/>
                                <w:bCs/>
                                <w:rtl/>
                              </w:rPr>
                              <w:t>המנוחה</w:t>
                            </w:r>
                            <w:r>
                              <w:rPr>
                                <w:b/>
                                <w:bCs/>
                                <w:rtl/>
                              </w:rPr>
                              <w:t xml:space="preserve"> ז"ל</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תיבת טקסט 217" o:spid="_x0000_s1026" type="#_x0000_t202" style="position:absolute;left:0;text-align:left;margin-left:168.1pt;margin-top:.65pt;width:95.6pt;height:20.55pt;flip:x;z-index:251655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" fillcolor="#b2a1c7 [1943]">
                <v:textbox style="mso-fit-shape-to-text:t">
                  <w:txbxContent>
                    <w:p w:rsidR="00DB218F" w:rsidRDefault="00DB218F" w:rsidP="00DB218F">
                      <w:pPr>
                        <w:jc w:val="center"/>
                        <w:rPr>
                          <w:b/>
                          <w:bCs/>
                        </w:rPr>
                      </w:pPr>
                      <w:r>
                        <w:rPr>
                          <w:rFonts w:hint="cs"/>
                          <w:b/>
                          <w:bCs/>
                          <w:rtl/>
                        </w:rPr>
                        <w:t>המנוחה</w:t>
                      </w:r>
                      <w:r>
                        <w:rPr>
                          <w:b/>
                          <w:bCs/>
                          <w:rtl/>
                        </w:rPr>
                        <w:t xml:space="preserve"> ז"ל</w:t>
                      </w:r>
                    </w:p>
                  </w:txbxContent>
                </v:textbox>
                <w10:wrap type="square"/>
              </v:shape>
            </w:pict>
          </mc:Fallback>
        </mc:AlternateContent>
      </w:r>
    </w:p>
    <w:p w:rsidR="00DB218F" w:rsidRDefault="00DB218F" w:rsidP="00DB218F">
      <w:pPr>
        <w:pStyle w:val="a9"/>
        <w:spacing w:after="240" w:line="360" w:lineRule="auto"/>
        <w:ind w:left="0"/>
        <w:jc w:val="both"/>
        <w:rPr>
          <w:rFonts w:ascii="Arial" w:hAnsi="Arial"/>
          <w:noProof w:val="0"/>
          <w:rtl/>
        </w:rPr>
      </w:pPr>
      <w:r>
        <w:rPr>
          <w:rtl/>
        </w:rPr>
        <mc:AlternateContent>
          <mc:Choice Requires="wps">
            <w:drawing>
              <wp:anchor distT="45720" distB="45720" distL="114300" distR="114300" simplePos="0" relativeHeight="251656704" behindDoc="0" locked="0" layoutInCell="1" allowOverlap="1">
                <wp:simplePos x="0" y="0"/>
                <wp:positionH relativeFrom="column">
                  <wp:posOffset>756920</wp:posOffset>
                </wp:positionH>
                <wp:positionV relativeFrom="paragraph">
                  <wp:posOffset>88265</wp:posOffset>
                </wp:positionV>
                <wp:extent cx="868045" cy="224155"/>
                <wp:effectExtent l="0" t="0" r="27305" b="23495"/>
                <wp:wrapSquare wrapText="bothSides"/>
                <wp:docPr id="35" name="תיבת טקסט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868045" cy="224155"/>
                        </a:xfrm>
                        <a:prstGeom prst="rect">
                          <a:avLst/>
                        </a:prstGeom>
                        <a:solidFill>
                          <a:schemeClr val="tx2">
                            <a:lumMod val="40000"/>
                            <a:lumOff val="60000"/>
                          </a:schemeClr>
                        </a:solidFill>
                        <a:ln w="9525">
                          <a:solidFill>
                            <a:srgbClr val="000000"/>
                          </a:solidFill>
                          <a:miter lim="800000"/>
                          <a:headEnd/>
                          <a:tailEnd/>
                        </a:ln>
                      </wps:spPr>
                      <wps:txbx>
                        <w:txbxContent>
                          <w:p w:rsidR="00DB218F" w:rsidRDefault="00DB218F" w:rsidP="00DB218F">
                            <w:pPr>
                              <w:jc w:val="center"/>
                              <w:rPr>
                                <w:b/>
                                <w:bCs/>
                              </w:rPr>
                            </w:pPr>
                            <w:r>
                              <w:rPr>
                                <w:rFonts w:hint="cs"/>
                                <w:b/>
                                <w:bCs/>
                                <w:rtl/>
                              </w:rPr>
                              <w:t>ר'</w:t>
                            </w:r>
                            <w:r>
                              <w:rPr>
                                <w:b/>
                                <w:bCs/>
                                <w:rtl/>
                              </w:rPr>
                              <w:t xml:space="preserve"> ז"ל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תיבת טקסט 35" o:spid="_x0000_s1027" type="#_x0000_t202" style="position:absolute;left:0;text-align:left;margin-left:59.6pt;margin-top:6.95pt;width:68.35pt;height:17.65pt;flip:x;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" fillcolor="#8db3e2 [1311]">
                <v:textbox>
                  <w:txbxContent>
                    <w:p w:rsidR="00DB218F" w:rsidRDefault="00DB218F" w:rsidP="00DB218F">
                      <w:pPr>
                        <w:jc w:val="center"/>
                        <w:rPr>
                          <w:b/>
                          <w:bCs/>
                        </w:rPr>
                      </w:pPr>
                      <w:r>
                        <w:rPr>
                          <w:rFonts w:hint="cs"/>
                          <w:b/>
                          <w:bCs/>
                          <w:rtl/>
                        </w:rPr>
                        <w:t>ר'</w:t>
                      </w:r>
                      <w:r>
                        <w:rPr>
                          <w:b/>
                          <w:bCs/>
                          <w:rtl/>
                        </w:rPr>
                        <w:t xml:space="preserve"> ז"ל</w:t>
                      </w:r>
                    </w:p>
                  </w:txbxContent>
                </v:textbox>
                <w10:wrap type="square"/>
              </v:shape>
            </w:pict>
          </mc:Fallback>
        </mc:AlternateContent>
      </w:r>
      <w:r>
        <w:rPr>
          <w:rtl/>
        </w:rPr>
        <mc:AlternateContent>
          <mc:Choice Requires="wps">
            <w:drawing>
              <wp:anchor distT="45720" distB="45720" distL="114300" distR="114300" simplePos="0" relativeHeight="251657728" behindDoc="0" locked="0" layoutInCell="1" allowOverlap="1">
                <wp:simplePos x="0" y="0"/>
                <wp:positionH relativeFrom="column">
                  <wp:posOffset>3878580</wp:posOffset>
                </wp:positionH>
                <wp:positionV relativeFrom="paragraph">
                  <wp:posOffset>96520</wp:posOffset>
                </wp:positionV>
                <wp:extent cx="489585" cy="260985"/>
                <wp:effectExtent l="0" t="0" r="24765" b="16510"/>
                <wp:wrapSquare wrapText="bothSides"/>
                <wp:docPr id="34" name="תיבת טקסט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89585" cy="250190"/>
                        </a:xfrm>
                        <a:prstGeom prst="rect">
                          <a:avLst/>
                        </a:prstGeom>
                        <a:solidFill>
                          <a:schemeClr val="tx2">
                            <a:lumMod val="40000"/>
                            <a:lumOff val="60000"/>
                          </a:schemeClr>
                        </a:solidFill>
                        <a:ln w="9525">
                          <a:solidFill>
                            <a:srgbClr val="000000"/>
                          </a:solidFill>
                          <a:miter lim="800000"/>
                          <a:headEnd/>
                          <a:tailEnd/>
                        </a:ln>
                      </wps:spPr>
                      <wps:txbx>
                        <w:txbxContent>
                          <w:p w:rsidR="00DB218F" w:rsidRDefault="00DB218F" w:rsidP="00DB218F">
                            <w:pPr>
                              <w:jc w:val="center"/>
                              <w:rPr>
                                <w:b/>
                                <w:bCs/>
                              </w:rPr>
                            </w:pPr>
                            <w:r>
                              <w:rPr>
                                <w:b/>
                                <w:bCs/>
                                <w:rtl/>
                              </w:rPr>
                              <w:t>ד</w:t>
                            </w:r>
                            <w:r>
                              <w:rPr>
                                <w:rFonts w:hint="cs"/>
                                <w:b/>
                                <w:bCs/>
                                <w:rtl/>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תיבת טקסט 34" o:spid="_x0000_s1028" type="#_x0000_t202" style="position:absolute;left:0;text-align:left;margin-left:305.4pt;margin-top:7.6pt;width:38.55pt;height:20.55pt;flip:x;z-index:251657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" fillcolor="#8db3e2 [1311]">
                <v:textbox style="mso-fit-shape-to-text:t">
                  <w:txbxContent>
                    <w:p w:rsidR="00DB218F" w:rsidRDefault="00DB218F" w:rsidP="00DB218F">
                      <w:pPr>
                        <w:jc w:val="center"/>
                        <w:rPr>
                          <w:b/>
                          <w:bCs/>
                        </w:rPr>
                      </w:pPr>
                      <w:r>
                        <w:rPr>
                          <w:b/>
                          <w:bCs/>
                          <w:rtl/>
                        </w:rPr>
                        <w:t>ד</w:t>
                      </w:r>
                      <w:r>
                        <w:rPr>
                          <w:rFonts w:hint="cs"/>
                          <w:b/>
                          <w:bCs/>
                          <w:rtl/>
                        </w:rPr>
                        <w:t>'</w:t>
                      </w:r>
                    </w:p>
                  </w:txbxContent>
                </v:textbox>
                <w10:wrap type="square"/>
              </v:shape>
            </w:pict>
          </mc:Fallback>
        </mc:AlternateContent>
      </w:r>
      <w:r>
        <w:rPr>
          <w:rtl/>
        </w:rPr>
        <mc:AlternateContent>
          <mc:Choice Requires="wps">
            <w:drawing>
              <wp:anchor distT="45720" distB="45720" distL="114300" distR="114300" simplePos="0" relativeHeight="251658752" behindDoc="0" locked="0" layoutInCell="1" allowOverlap="1">
                <wp:simplePos x="0" y="0"/>
                <wp:positionH relativeFrom="column">
                  <wp:posOffset>2982595</wp:posOffset>
                </wp:positionH>
                <wp:positionV relativeFrom="paragraph">
                  <wp:posOffset>97155</wp:posOffset>
                </wp:positionV>
                <wp:extent cx="489585" cy="260985"/>
                <wp:effectExtent l="0" t="0" r="24765" b="16510"/>
                <wp:wrapSquare wrapText="bothSides"/>
                <wp:docPr id="32" name="תיבת טקסט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89585" cy="250190"/>
                        </a:xfrm>
                        <a:prstGeom prst="rect">
                          <a:avLst/>
                        </a:prstGeom>
                        <a:solidFill>
                          <a:schemeClr val="tx2">
                            <a:lumMod val="40000"/>
                            <a:lumOff val="60000"/>
                          </a:schemeClr>
                        </a:solidFill>
                        <a:ln w="9525">
                          <a:solidFill>
                            <a:srgbClr val="000000"/>
                          </a:solidFill>
                          <a:miter lim="800000"/>
                          <a:headEnd/>
                          <a:tailEnd/>
                        </a:ln>
                      </wps:spPr>
                      <wps:txbx>
                        <w:txbxContent>
                          <w:p w:rsidR="00DB218F" w:rsidRDefault="00DB218F" w:rsidP="00DB218F">
                            <w:pPr>
                              <w:jc w:val="center"/>
                              <w:rPr>
                                <w:b/>
                                <w:bCs/>
                              </w:rPr>
                            </w:pPr>
                            <w:r>
                              <w:rPr>
                                <w:rFonts w:hint="cs"/>
                                <w:b/>
                                <w:bCs/>
                                <w:rtl/>
                              </w:rPr>
                              <w:t>י.פ.</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תיבת טקסט 32" o:spid="_x0000_s1029" type="#_x0000_t202" style="position:absolute;left:0;text-align:left;margin-left:234.85pt;margin-top:7.65pt;width:38.55pt;height:20.55pt;flip:x;z-index:2516587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" fillcolor="#8db3e2 [1311]">
                <v:textbox style="mso-fit-shape-to-text:t">
                  <w:txbxContent>
                    <w:p w:rsidR="00DB218F" w:rsidRDefault="00DB218F" w:rsidP="00DB218F">
                      <w:pPr>
                        <w:jc w:val="center"/>
                        <w:rPr>
                          <w:b/>
                          <w:bCs/>
                        </w:rPr>
                      </w:pPr>
                      <w:r>
                        <w:rPr>
                          <w:rFonts w:hint="cs"/>
                          <w:b/>
                          <w:bCs/>
                          <w:rtl/>
                        </w:rPr>
                        <w:t>י.פ.</w:t>
                      </w:r>
                    </w:p>
                  </w:txbxContent>
                </v:textbox>
                <w10:wrap type="square"/>
              </v:shape>
            </w:pict>
          </mc:Fallback>
        </mc:AlternateContent>
      </w:r>
      <w:r>
        <w:rPr>
          <w:rtl/>
        </w:rPr>
        <mc:AlternateContent>
          <mc:Choice Requires="wps">
            <w:drawing>
              <wp:anchor distT="45720" distB="45720" distL="114300" distR="114300" simplePos="0" relativeHeight="251659776" behindDoc="0" locked="0" layoutInCell="1" allowOverlap="1">
                <wp:simplePos x="0" y="0"/>
                <wp:positionH relativeFrom="column">
                  <wp:posOffset>2066925</wp:posOffset>
                </wp:positionH>
                <wp:positionV relativeFrom="paragraph">
                  <wp:posOffset>81915</wp:posOffset>
                </wp:positionV>
                <wp:extent cx="489585" cy="260985"/>
                <wp:effectExtent l="0" t="0" r="24765" b="16510"/>
                <wp:wrapSquare wrapText="bothSides"/>
                <wp:docPr id="33" name="תיבת טקסט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489585" cy="250190"/>
                        </a:xfrm>
                        <a:prstGeom prst="rect">
                          <a:avLst/>
                        </a:prstGeom>
                        <a:solidFill>
                          <a:schemeClr val="tx2">
                            <a:lumMod val="40000"/>
                            <a:lumOff val="60000"/>
                          </a:schemeClr>
                        </a:solidFill>
                        <a:ln w="9525">
                          <a:solidFill>
                            <a:srgbClr val="000000"/>
                          </a:solidFill>
                          <a:miter lim="800000"/>
                          <a:headEnd/>
                          <a:tailEnd/>
                        </a:ln>
                      </wps:spPr>
                      <wps:txbx>
                        <w:txbxContent>
                          <w:p w:rsidR="00DB218F" w:rsidRDefault="00DB218F" w:rsidP="00DB218F">
                            <w:pPr>
                              <w:jc w:val="center"/>
                              <w:rPr>
                                <w:b/>
                                <w:bCs/>
                              </w:rPr>
                            </w:pPr>
                            <w:r>
                              <w:rPr>
                                <w:rFonts w:hint="cs"/>
                                <w:b/>
                                <w:bCs/>
                                <w:rtl/>
                              </w:rPr>
                              <w:t>פ'</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תיבת טקסט 33" o:spid="_x0000_s1030" type="#_x0000_t202" style="position:absolute;left:0;text-align:left;margin-left:162.75pt;margin-top:6.45pt;width:38.55pt;height:20.55pt;flip:x;z-index:2516597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" fillcolor="#8db3e2 [1311]">
                <v:textbox style="mso-fit-shape-to-text:t">
                  <w:txbxContent>
                    <w:p w:rsidR="00DB218F" w:rsidRDefault="00DB218F" w:rsidP="00DB218F">
                      <w:pPr>
                        <w:jc w:val="center"/>
                        <w:rPr>
                          <w:b/>
                          <w:bCs/>
                        </w:rPr>
                      </w:pPr>
                      <w:r>
                        <w:rPr>
                          <w:rFonts w:hint="cs"/>
                          <w:b/>
                          <w:bCs/>
                          <w:rtl/>
                        </w:rPr>
                        <w:t>פ'</w:t>
                      </w:r>
                    </w:p>
                  </w:txbxContent>
                </v:textbox>
                <w10:wrap type="square"/>
              </v:shape>
            </w:pict>
          </mc:Fallback>
        </mc:AlternateContent>
      </w:r>
    </w:p>
    <w:p w:rsidR="00DB218F" w:rsidRDefault="00DB218F" w:rsidP="00DB218F">
      <w:pPr>
        <w:pStyle w:val="a9"/>
        <w:spacing w:after="240" w:line="360" w:lineRule="auto"/>
        <w:ind w:left="0"/>
        <w:jc w:val="both"/>
        <w:rPr>
          <w:rFonts w:ascii="Arial" w:hAnsi="Arial"/>
          <w:noProof w:val="0"/>
          <w:rtl/>
        </w:rPr>
      </w:pPr>
      <w:r>
        <w:rPr>
          <w:rtl/>
        </w:rPr>
        <mc:AlternateContent>
          <mc:Choice Requires="wps">
            <w:drawing>
              <wp:anchor distT="0" distB="0" distL="114300" distR="114300" simplePos="0" relativeHeight="251660800" behindDoc="0" locked="0" layoutInCell="1" allowOverlap="1">
                <wp:simplePos x="0" y="0"/>
                <wp:positionH relativeFrom="column">
                  <wp:posOffset>4302760</wp:posOffset>
                </wp:positionH>
                <wp:positionV relativeFrom="paragraph">
                  <wp:posOffset>22225</wp:posOffset>
                </wp:positionV>
                <wp:extent cx="259080" cy="137795"/>
                <wp:effectExtent l="0" t="0" r="64770" b="52705"/>
                <wp:wrapNone/>
                <wp:docPr id="37" name="מחבר חץ ישר 37"/>
                <wp:cNvGraphicFramePr/>
                <a:graphic xmlns:a="http://schemas.openxmlformats.org/drawingml/2006/main">
                  <a:graphicData uri="http://schemas.microsoft.com/office/word/2010/wordprocessingShape">
                    <wps:wsp>
                      <wps:cNvCnPr/>
                      <wps:spPr>
                        <a:xfrm>
                          <a:off x="0" y="0"/>
                          <a:ext cx="258445" cy="13779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49E25EC5" id="מחבר חץ ישר 37" o:spid="_x0000_s1026" type="#_x0000_t32" style="position:absolute;left:0;text-align:left;margin-left:338.8pt;margin-top:1.75pt;width:20.4pt;height:10.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" strokecolor="black [3040]">
                <v:stroke endarrow="block"/>
              </v:shape>
            </w:pict>
          </mc:Fallback>
        </mc:AlternateContent>
      </w:r>
      <w:r>
        <w:rPr>
          <w:rtl/>
        </w:rPr>
        <mc:AlternateContent>
          <mc:Choice Requires="wps">
            <w:drawing>
              <wp:anchor distT="45720" distB="45720" distL="114300" distR="114300" simplePos="0" relativeHeight="251661824" behindDoc="0" locked="0" layoutInCell="1" allowOverlap="1">
                <wp:simplePos x="0" y="0"/>
                <wp:positionH relativeFrom="column">
                  <wp:posOffset>4311015</wp:posOffset>
                </wp:positionH>
                <wp:positionV relativeFrom="paragraph">
                  <wp:posOffset>203200</wp:posOffset>
                </wp:positionV>
                <wp:extent cx="629285" cy="260985"/>
                <wp:effectExtent l="0" t="0" r="18415" b="16510"/>
                <wp:wrapSquare wrapText="bothSides"/>
                <wp:docPr id="36" name="תיבת טקסט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629285" cy="250190"/>
                        </a:xfrm>
                        <a:prstGeom prst="rect">
                          <a:avLst/>
                        </a:prstGeom>
                        <a:solidFill>
                          <a:srgbClr val="002060"/>
                        </a:solidFill>
                        <a:ln w="9525">
                          <a:solidFill>
                            <a:srgbClr val="000000"/>
                          </a:solidFill>
                          <a:miter lim="800000"/>
                          <a:headEnd/>
                          <a:tailEnd/>
                        </a:ln>
                      </wps:spPr>
                      <wps:txbx>
                        <w:txbxContent>
                          <w:p w:rsidR="00DB218F" w:rsidRDefault="00DB218F" w:rsidP="00DB218F">
                            <w:pPr>
                              <w:jc w:val="center"/>
                              <w:rPr>
                                <w:b/>
                                <w:bCs/>
                              </w:rPr>
                            </w:pPr>
                            <w:r>
                              <w:rPr>
                                <w:rFonts w:hint="cs"/>
                                <w:b/>
                                <w:bCs/>
                                <w:rtl/>
                              </w:rPr>
                              <w:t>א.פ.</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תיבת טקסט 36" o:spid="_x0000_s1031" type="#_x0000_t202" style="position:absolute;left:0;text-align:left;margin-left:339.45pt;margin-top:16pt;width:49.55pt;height:20.55pt;flip:x;z-index:2516618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" fillcolor="#002060">
                <v:textbox style="mso-fit-shape-to-text:t">
                  <w:txbxContent>
                    <w:p w:rsidR="00DB218F" w:rsidRDefault="00DB218F" w:rsidP="00DB218F">
                      <w:pPr>
                        <w:jc w:val="center"/>
                        <w:rPr>
                          <w:b/>
                          <w:bCs/>
                        </w:rPr>
                      </w:pPr>
                      <w:r>
                        <w:rPr>
                          <w:rFonts w:hint="cs"/>
                          <w:b/>
                          <w:bCs/>
                          <w:rtl/>
                        </w:rPr>
                        <w:t>א.פ.</w:t>
                      </w:r>
                    </w:p>
                  </w:txbxContent>
                </v:textbox>
                <w10:wrap type="square"/>
              </v:shape>
            </w:pict>
          </mc:Fallback>
        </mc:AlternateContent>
      </w:r>
    </w:p>
    <w:p w:rsidR="00DB218F" w:rsidRDefault="00DB218F" w:rsidP="00DB218F">
      <w:pPr>
        <w:spacing w:after="240" w:line="360" w:lineRule="auto"/>
        <w:jc w:val="both"/>
        <w:rPr>
          <w:rFonts w:ascii="Arial" w:hAnsi="Arial"/>
          <w:b/>
          <w:bCs/>
          <w:noProof w:val="0"/>
          <w:rtl/>
        </w:rPr>
      </w:pPr>
    </w:p>
    <w:p w:rsidR="00DB218F" w:rsidRDefault="00DB218F" w:rsidP="00DB218F">
      <w:pPr>
        <w:spacing w:after="240" w:line="360" w:lineRule="auto"/>
        <w:jc w:val="both"/>
        <w:rPr>
          <w:rFonts w:ascii="Arial" w:hAnsi="Arial"/>
          <w:b/>
          <w:bCs/>
          <w:noProof w:val="0"/>
          <w:rtl/>
        </w:rPr>
      </w:pPr>
    </w:p>
    <w:p w:rsidR="00DB218F" w:rsidRPr="00DB218F" w:rsidRDefault="00DB218F" w:rsidP="00DB218F">
      <w:pPr>
        <w:pStyle w:val="a9"/>
        <w:numPr>
          <w:ilvl w:val="0"/>
          <w:numId w:val="4"/>
        </w:numPr>
        <w:spacing w:after="240" w:line="360" w:lineRule="auto"/>
        <w:ind w:left="0" w:firstLine="0"/>
        <w:jc w:val="both"/>
        <w:rPr>
          <w:rFonts w:ascii="Arial" w:hAnsi="Arial"/>
          <w:noProof w:val="0"/>
        </w:rPr>
      </w:pPr>
      <w:r w:rsidRPr="00DB218F">
        <w:rPr>
          <w:rFonts w:ascii="Arial" w:hAnsi="Arial"/>
          <w:b/>
          <w:bCs/>
          <w:noProof w:val="0"/>
          <w:rtl/>
        </w:rPr>
        <w:lastRenderedPageBreak/>
        <w:t>ביום 17.11.2008</w:t>
      </w:r>
      <w:r w:rsidRPr="00DB218F">
        <w:rPr>
          <w:rFonts w:ascii="Arial" w:hAnsi="Arial"/>
          <w:noProof w:val="0"/>
          <w:rtl/>
        </w:rPr>
        <w:t xml:space="preserve"> ערכה המנוחה צוואה בכתב יד (להלן: </w:t>
      </w:r>
      <w:r w:rsidRPr="00DB218F">
        <w:rPr>
          <w:rFonts w:ascii="Arial" w:hAnsi="Arial"/>
          <w:b/>
          <w:bCs/>
          <w:noProof w:val="0"/>
          <w:rtl/>
        </w:rPr>
        <w:t>"הצוואה"</w:t>
      </w:r>
      <w:r w:rsidRPr="00DB218F">
        <w:rPr>
          <w:rFonts w:ascii="Arial" w:hAnsi="Arial"/>
          <w:noProof w:val="0"/>
          <w:rtl/>
        </w:rPr>
        <w:t>) שבה ציוותה, בין היתר, כי הדירה תחולק בחלקים שווים בין ארבעת ילדיה. לשם הנוחות להלן העתק נוסח הצוואה:</w:t>
      </w:r>
    </w:p>
    <w:p w:rsidR="00DB218F" w:rsidRDefault="0036596F" w:rsidP="0036596F">
      <w:pPr>
        <w:pStyle w:val="a9"/>
        <w:spacing w:after="240" w:line="360" w:lineRule="auto"/>
        <w:ind w:left="0" w:firstLine="709"/>
        <w:contextualSpacing w:val="0"/>
        <w:jc w:val="both"/>
        <w:rPr>
          <w:rFonts w:ascii="Arial" w:hAnsi="Arial"/>
          <w:noProof w:val="0"/>
        </w:rPr>
      </w:pPr>
      <w:r w:rsidRPr="0036596F">
        <w:rPr>
          <w:rFonts w:ascii="Arial" w:hAnsi="Arial"/>
          <w:rtl/>
        </w:rPr>
        <w:drawing>
          <wp:inline distT="0" distB="0" distL="0" distR="0" wp14:anchorId="7D38EA8B" wp14:editId="6573F005">
            <wp:extent cx="4436018" cy="5838825"/>
            <wp:effectExtent l="0" t="0" r="3175"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489325" cy="5908989"/>
                    </a:xfrm>
                    <a:prstGeom prst="rect">
                      <a:avLst/>
                    </a:prstGeom>
                  </pic:spPr>
                </pic:pic>
              </a:graphicData>
            </a:graphic>
          </wp:inline>
        </w:drawing>
      </w:r>
    </w:p>
    <w:p w:rsidR="00DB218F" w:rsidRDefault="00DB218F" w:rsidP="0036596F">
      <w:pPr>
        <w:pStyle w:val="a9"/>
        <w:numPr>
          <w:ilvl w:val="0"/>
          <w:numId w:val="4"/>
        </w:numPr>
        <w:spacing w:before="120" w:after="240" w:line="360" w:lineRule="auto"/>
        <w:ind w:left="0" w:firstLine="0"/>
        <w:contextualSpacing w:val="0"/>
        <w:jc w:val="both"/>
        <w:rPr>
          <w:rFonts w:ascii="Arial" w:hAnsi="Arial"/>
          <w:noProof w:val="0"/>
        </w:rPr>
      </w:pPr>
      <w:r>
        <w:rPr>
          <w:rFonts w:ascii="Arial" w:hAnsi="Arial"/>
          <w:b/>
          <w:bCs/>
          <w:noProof w:val="0"/>
          <w:rtl/>
        </w:rPr>
        <w:t xml:space="preserve">ביום 25.10.2011 </w:t>
      </w:r>
      <w:r>
        <w:rPr>
          <w:rFonts w:ascii="Arial" w:hAnsi="Arial"/>
          <w:noProof w:val="0"/>
          <w:rtl/>
        </w:rPr>
        <w:t xml:space="preserve">חתמו המנוחה והנתבע על </w:t>
      </w:r>
      <w:r>
        <w:rPr>
          <w:rFonts w:ascii="Arial" w:hAnsi="Arial"/>
          <w:b/>
          <w:bCs/>
          <w:noProof w:val="0"/>
          <w:rtl/>
        </w:rPr>
        <w:t>"הסכם מכר ללא תמורה</w:t>
      </w:r>
      <w:r>
        <w:rPr>
          <w:rFonts w:ascii="Arial" w:hAnsi="Arial"/>
          <w:noProof w:val="0"/>
          <w:rtl/>
        </w:rPr>
        <w:t xml:space="preserve">" (להלן: </w:t>
      </w:r>
      <w:r>
        <w:rPr>
          <w:rFonts w:ascii="Arial" w:hAnsi="Arial"/>
          <w:b/>
          <w:bCs/>
          <w:noProof w:val="0"/>
          <w:rtl/>
        </w:rPr>
        <w:t>"הסכם המתנה"</w:t>
      </w:r>
      <w:r>
        <w:rPr>
          <w:rFonts w:ascii="Arial" w:hAnsi="Arial"/>
          <w:noProof w:val="0"/>
          <w:rtl/>
        </w:rPr>
        <w:t xml:space="preserve">), שבו התחייבה המנוחה להעביר את מלוא זכויותיה בדירה לידי הנתבע ללא תמורה. </w:t>
      </w:r>
    </w:p>
    <w:p w:rsidR="00DB218F" w:rsidRDefault="00DB218F" w:rsidP="0036596F">
      <w:pPr>
        <w:pStyle w:val="a9"/>
        <w:spacing w:after="240" w:line="360" w:lineRule="auto"/>
        <w:ind w:left="0" w:firstLine="720"/>
        <w:contextualSpacing w:val="0"/>
        <w:jc w:val="both"/>
        <w:rPr>
          <w:rFonts w:ascii="Arial" w:hAnsi="Arial"/>
          <w:noProof w:val="0"/>
        </w:rPr>
      </w:pPr>
      <w:r>
        <w:rPr>
          <w:rFonts w:ascii="Arial" w:hAnsi="Arial"/>
          <w:noProof w:val="0"/>
          <w:rtl/>
        </w:rPr>
        <w:t>באותו מועד, ולפי הוראות הסכם המתנה, חתמה המנוחה גם על "</w:t>
      </w:r>
      <w:r>
        <w:rPr>
          <w:rFonts w:ascii="Arial" w:hAnsi="Arial"/>
          <w:b/>
          <w:bCs/>
          <w:noProof w:val="0"/>
          <w:rtl/>
        </w:rPr>
        <w:t>ייפוי כח והרשאה בלתי חוזר – נוטריוני"</w:t>
      </w:r>
      <w:r>
        <w:rPr>
          <w:rFonts w:ascii="Arial" w:hAnsi="Arial"/>
          <w:noProof w:val="0"/>
          <w:rtl/>
        </w:rPr>
        <w:t xml:space="preserve"> (להלן: </w:t>
      </w:r>
      <w:r>
        <w:rPr>
          <w:rFonts w:ascii="Arial" w:hAnsi="Arial"/>
          <w:b/>
          <w:bCs/>
          <w:noProof w:val="0"/>
          <w:rtl/>
        </w:rPr>
        <w:t>"ייפוי הכוח"</w:t>
      </w:r>
      <w:r>
        <w:rPr>
          <w:rFonts w:ascii="Arial" w:hAnsi="Arial"/>
          <w:noProof w:val="0"/>
          <w:rtl/>
        </w:rPr>
        <w:t xml:space="preserve">), שבו ייפתה את כוחם של עו"ד </w:t>
      </w:r>
      <w:r w:rsidR="0036596F">
        <w:rPr>
          <w:rFonts w:ascii="Arial" w:hAnsi="Arial" w:hint="cs"/>
          <w:noProof w:val="0"/>
          <w:rtl/>
        </w:rPr>
        <w:t>ת.י.</w:t>
      </w:r>
      <w:r w:rsidR="0036596F">
        <w:rPr>
          <w:rFonts w:ascii="Arial" w:hAnsi="Arial"/>
          <w:noProof w:val="0"/>
          <w:rtl/>
        </w:rPr>
        <w:t xml:space="preserve"> ועו"ד </w:t>
      </w:r>
      <w:r w:rsidR="0036596F">
        <w:rPr>
          <w:rFonts w:ascii="Arial" w:hAnsi="Arial" w:hint="cs"/>
          <w:noProof w:val="0"/>
          <w:rtl/>
        </w:rPr>
        <w:t>ר'</w:t>
      </w:r>
      <w:r>
        <w:rPr>
          <w:rFonts w:ascii="Arial" w:hAnsi="Arial"/>
          <w:noProof w:val="0"/>
          <w:rtl/>
        </w:rPr>
        <w:t xml:space="preserve"> (להלן: </w:t>
      </w:r>
      <w:r>
        <w:rPr>
          <w:rFonts w:ascii="Arial" w:hAnsi="Arial"/>
          <w:b/>
          <w:bCs/>
          <w:noProof w:val="0"/>
          <w:rtl/>
        </w:rPr>
        <w:t xml:space="preserve">"עו"ד </w:t>
      </w:r>
      <w:r w:rsidR="0036596F">
        <w:rPr>
          <w:rFonts w:ascii="Arial" w:hAnsi="Arial" w:hint="cs"/>
          <w:b/>
          <w:bCs/>
          <w:noProof w:val="0"/>
          <w:rtl/>
        </w:rPr>
        <w:t xml:space="preserve">ר' </w:t>
      </w:r>
      <w:r>
        <w:rPr>
          <w:rFonts w:ascii="Arial" w:hAnsi="Arial"/>
          <w:b/>
          <w:bCs/>
          <w:noProof w:val="0"/>
          <w:rtl/>
        </w:rPr>
        <w:t>"</w:t>
      </w:r>
      <w:r>
        <w:rPr>
          <w:rFonts w:ascii="Arial" w:hAnsi="Arial"/>
          <w:noProof w:val="0"/>
          <w:rtl/>
        </w:rPr>
        <w:t>) לפעול בשמה בכל הנוגע להסכם המתנה.</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rPr>
      </w:pPr>
      <w:r>
        <w:rPr>
          <w:rFonts w:ascii="Arial" w:hAnsi="Arial"/>
          <w:b/>
          <w:bCs/>
          <w:noProof w:val="0"/>
          <w:rtl/>
        </w:rPr>
        <w:lastRenderedPageBreak/>
        <w:t xml:space="preserve">ביום 5.11.2012 הלכה המנוחה לבית עולמה.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b/>
          <w:bCs/>
          <w:noProof w:val="0"/>
          <w:rtl/>
        </w:rPr>
        <w:t>ביום 23.12.2014 ניתן צו לקיום צוואת המנוחה</w:t>
      </w:r>
      <w:r>
        <w:rPr>
          <w:rFonts w:ascii="Arial" w:hAnsi="Arial"/>
          <w:noProof w:val="0"/>
          <w:rtl/>
        </w:rPr>
        <w:t xml:space="preserve">.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b/>
          <w:bCs/>
          <w:noProof w:val="0"/>
          <w:rtl/>
        </w:rPr>
        <w:t>ביום 17.2.2016 נערך הסכם לחלוקת עזבון המנוחה בין ד</w:t>
      </w:r>
      <w:r w:rsidR="0036596F">
        <w:rPr>
          <w:rFonts w:ascii="Arial" w:hAnsi="Arial" w:hint="cs"/>
          <w:b/>
          <w:bCs/>
          <w:noProof w:val="0"/>
          <w:rtl/>
        </w:rPr>
        <w:t>'</w:t>
      </w:r>
      <w:r w:rsidR="0036596F">
        <w:rPr>
          <w:rFonts w:ascii="Arial" w:hAnsi="Arial"/>
          <w:b/>
          <w:bCs/>
          <w:noProof w:val="0"/>
          <w:rtl/>
        </w:rPr>
        <w:t xml:space="preserve"> לבין </w:t>
      </w:r>
      <w:r w:rsidR="0036596F">
        <w:rPr>
          <w:rFonts w:ascii="Arial" w:hAnsi="Arial" w:hint="cs"/>
          <w:b/>
          <w:bCs/>
          <w:noProof w:val="0"/>
          <w:rtl/>
        </w:rPr>
        <w:t>פ'</w:t>
      </w:r>
      <w:r w:rsidR="0036596F">
        <w:rPr>
          <w:rFonts w:ascii="Arial" w:hAnsi="Arial"/>
          <w:noProof w:val="0"/>
          <w:rtl/>
        </w:rPr>
        <w:t>, שבו נקבע, בין היתר, כי ד</w:t>
      </w:r>
      <w:r w:rsidR="0036596F">
        <w:rPr>
          <w:rFonts w:ascii="Arial" w:hAnsi="Arial" w:hint="cs"/>
          <w:noProof w:val="0"/>
          <w:rtl/>
        </w:rPr>
        <w:t>'</w:t>
      </w:r>
      <w:r>
        <w:rPr>
          <w:rFonts w:ascii="Arial" w:hAnsi="Arial"/>
          <w:noProof w:val="0"/>
          <w:rtl/>
        </w:rPr>
        <w:t xml:space="preserve"> מעביר את חלקו בדיר</w:t>
      </w:r>
      <w:r w:rsidR="0036596F">
        <w:rPr>
          <w:rFonts w:ascii="Arial" w:hAnsi="Arial"/>
          <w:noProof w:val="0"/>
          <w:rtl/>
        </w:rPr>
        <w:t xml:space="preserve">ה (1/4) לידי </w:t>
      </w:r>
      <w:r w:rsidR="0036596F">
        <w:rPr>
          <w:rFonts w:ascii="Arial" w:hAnsi="Arial" w:hint="cs"/>
          <w:noProof w:val="0"/>
          <w:rtl/>
        </w:rPr>
        <w:t>פ'</w:t>
      </w:r>
      <w:r>
        <w:rPr>
          <w:rFonts w:ascii="Arial" w:hAnsi="Arial"/>
          <w:noProof w:val="0"/>
          <w:rtl/>
        </w:rPr>
        <w:t xml:space="preserve"> ללא תמורה. </w:t>
      </w:r>
    </w:p>
    <w:p w:rsidR="00DB218F" w:rsidRDefault="00DB218F" w:rsidP="0036596F">
      <w:pPr>
        <w:pStyle w:val="a9"/>
        <w:spacing w:after="120" w:line="360" w:lineRule="auto"/>
        <w:ind w:left="0" w:firstLine="709"/>
        <w:contextualSpacing w:val="0"/>
        <w:jc w:val="both"/>
        <w:rPr>
          <w:rFonts w:ascii="Arial" w:hAnsi="Arial"/>
          <w:noProof w:val="0"/>
        </w:rPr>
      </w:pPr>
      <w:r>
        <w:rPr>
          <w:rFonts w:ascii="Arial" w:hAnsi="Arial"/>
          <w:b/>
          <w:bCs/>
          <w:noProof w:val="0"/>
          <w:rtl/>
        </w:rPr>
        <w:t xml:space="preserve">ביום 29.2.2016 נערך הסכם לחלוקת </w:t>
      </w:r>
      <w:r w:rsidR="0036596F">
        <w:rPr>
          <w:rFonts w:ascii="Arial" w:hAnsi="Arial"/>
          <w:b/>
          <w:bCs/>
          <w:noProof w:val="0"/>
          <w:rtl/>
        </w:rPr>
        <w:t xml:space="preserve">עזבון המנוחה בין התובע לבין </w:t>
      </w:r>
      <w:r w:rsidR="0036596F">
        <w:rPr>
          <w:rFonts w:ascii="Arial" w:hAnsi="Arial" w:hint="cs"/>
          <w:b/>
          <w:bCs/>
          <w:noProof w:val="0"/>
          <w:rtl/>
        </w:rPr>
        <w:t>פ'</w:t>
      </w:r>
      <w:r w:rsidR="0036596F">
        <w:rPr>
          <w:rFonts w:ascii="Arial" w:hAnsi="Arial"/>
          <w:noProof w:val="0"/>
          <w:rtl/>
        </w:rPr>
        <w:t xml:space="preserve">, שבו נקבע, בין היתר, כי </w:t>
      </w:r>
      <w:r w:rsidR="0036596F">
        <w:rPr>
          <w:rFonts w:ascii="Arial" w:hAnsi="Arial" w:hint="cs"/>
          <w:noProof w:val="0"/>
          <w:rtl/>
        </w:rPr>
        <w:t>פ'</w:t>
      </w:r>
      <w:r>
        <w:rPr>
          <w:rFonts w:ascii="Arial" w:hAnsi="Arial"/>
          <w:noProof w:val="0"/>
          <w:rtl/>
        </w:rPr>
        <w:t xml:space="preserve"> מעביר את חלקו בדירה (2/4) לידי התובע ללא תמורה. לשם הנוחות להלן העתק נוסח הסעיף הרלוונטי בהסכם: </w:t>
      </w:r>
    </w:p>
    <w:p w:rsidR="0036596F" w:rsidRDefault="0036596F" w:rsidP="0036596F">
      <w:pPr>
        <w:pStyle w:val="a9"/>
        <w:spacing w:after="240" w:line="360" w:lineRule="auto"/>
        <w:ind w:left="567" w:firstLine="142"/>
        <w:contextualSpacing w:val="0"/>
        <w:jc w:val="both"/>
        <w:rPr>
          <w:rFonts w:ascii="Arial" w:hAnsi="Arial"/>
          <w:rtl/>
        </w:rPr>
      </w:pPr>
      <w:r w:rsidRPr="0036596F">
        <w:rPr>
          <w:rFonts w:ascii="Arial" w:hAnsi="Arial"/>
          <w:rtl/>
        </w:rPr>
        <w:drawing>
          <wp:inline distT="0" distB="0" distL="0" distR="0" wp14:anchorId="7DD062EE" wp14:editId="712160DE">
            <wp:extent cx="3810532" cy="914528"/>
            <wp:effectExtent l="0" t="0" r="0" b="0"/>
            <wp:docPr id="42" name="תמונה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10532" cy="914528"/>
                    </a:xfrm>
                    <a:prstGeom prst="rect">
                      <a:avLst/>
                    </a:prstGeom>
                  </pic:spPr>
                </pic:pic>
              </a:graphicData>
            </a:graphic>
          </wp:inline>
        </w:drawing>
      </w:r>
    </w:p>
    <w:p w:rsidR="00DB218F" w:rsidRPr="0036596F" w:rsidRDefault="0036596F" w:rsidP="0036596F">
      <w:pPr>
        <w:pStyle w:val="a9"/>
        <w:spacing w:before="240" w:after="240" w:line="360" w:lineRule="auto"/>
        <w:ind w:left="567" w:firstLine="142"/>
        <w:contextualSpacing w:val="0"/>
        <w:jc w:val="both"/>
        <w:rPr>
          <w:rFonts w:ascii="Arial" w:hAnsi="Arial"/>
          <w:noProof w:val="0"/>
        </w:rPr>
      </w:pPr>
      <w:r w:rsidRPr="0036596F">
        <w:rPr>
          <w:rFonts w:ascii="Arial" w:hAnsi="Arial"/>
          <w:noProof w:val="0"/>
          <w:rtl/>
        </w:rPr>
        <w:t xml:space="preserve"> </w:t>
      </w:r>
      <w:r w:rsidR="00DB218F" w:rsidRPr="0036596F">
        <w:rPr>
          <w:rFonts w:ascii="Arial" w:hAnsi="Arial"/>
          <w:noProof w:val="0"/>
          <w:rtl/>
        </w:rPr>
        <w:t xml:space="preserve">(להלן: </w:t>
      </w:r>
      <w:r w:rsidR="00DB218F" w:rsidRPr="0036596F">
        <w:rPr>
          <w:rFonts w:ascii="Arial" w:hAnsi="Arial"/>
          <w:b/>
          <w:bCs/>
          <w:noProof w:val="0"/>
          <w:rtl/>
        </w:rPr>
        <w:t>"הסכמי חלוקת העיזבון"</w:t>
      </w:r>
      <w:r w:rsidR="00DB218F" w:rsidRPr="0036596F">
        <w:rPr>
          <w:rFonts w:ascii="Arial" w:hAnsi="Arial"/>
          <w:noProof w:val="0"/>
          <w:rtl/>
        </w:rPr>
        <w:t>).</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הסכמי חלוקת העיזבון לא קיבלו תוקף של פסק דין ולא אושרו על ידי בית המשפט. למען שלמות התמונה יוער, כי ביום 30.6.2022 הגיש התובע בקשה לבית המשפט לשם אישור הסכם</w:t>
      </w:r>
      <w:r w:rsidR="0036596F">
        <w:rPr>
          <w:rFonts w:ascii="Arial" w:hAnsi="Arial"/>
          <w:noProof w:val="0"/>
          <w:rtl/>
        </w:rPr>
        <w:t xml:space="preserve"> חלוקת העיזבון שנערך בינו לבין </w:t>
      </w:r>
      <w:r w:rsidR="0036596F">
        <w:rPr>
          <w:rFonts w:ascii="Arial" w:hAnsi="Arial" w:hint="cs"/>
          <w:noProof w:val="0"/>
          <w:rtl/>
        </w:rPr>
        <w:t>פ'</w:t>
      </w:r>
      <w:r>
        <w:rPr>
          <w:rFonts w:ascii="Arial" w:hAnsi="Arial"/>
          <w:noProof w:val="0"/>
          <w:rtl/>
        </w:rPr>
        <w:t>. עם זאת, התובע לא פעל כנדרש על פי הוראת בית המשפט, ולפיכך ביום 23.10.2022 הבקשה נמחקה (ת"ע 67183-06-22).</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b/>
          <w:bCs/>
          <w:noProof w:val="0"/>
          <w:rtl/>
        </w:rPr>
        <w:t>ביום 16.10.2017 הגיש התובע את התובענה מושא ההליך שלפניי</w:t>
      </w:r>
      <w:r>
        <w:rPr>
          <w:rFonts w:ascii="Arial" w:hAnsi="Arial"/>
          <w:noProof w:val="0"/>
          <w:rtl/>
        </w:rPr>
        <w:t xml:space="preserve">, שבה ביקש להצהיר כי 3/4 מהזכויות בדירה שייכות לו, וזאת על פי הוראות הצוואה והסכמי חלוקת העיזבון. לטענת התובע, חתימת המנוחה על הסכם המתנה </w:t>
      </w:r>
      <w:r>
        <w:rPr>
          <w:rFonts w:ascii="Arial" w:hAnsi="Arial"/>
          <w:b/>
          <w:bCs/>
          <w:noProof w:val="0"/>
          <w:rtl/>
        </w:rPr>
        <w:t>זויפה</w:t>
      </w:r>
      <w:r>
        <w:rPr>
          <w:rFonts w:ascii="Arial" w:hAnsi="Arial"/>
          <w:noProof w:val="0"/>
          <w:rtl/>
        </w:rPr>
        <w:t xml:space="preserve">, וממילא המנוחה </w:t>
      </w:r>
      <w:r>
        <w:rPr>
          <w:rFonts w:ascii="Arial" w:hAnsi="Arial"/>
          <w:b/>
          <w:bCs/>
          <w:noProof w:val="0"/>
          <w:rtl/>
        </w:rPr>
        <w:t>לא הייתה כשירה</w:t>
      </w:r>
      <w:r>
        <w:rPr>
          <w:rFonts w:ascii="Arial" w:hAnsi="Arial"/>
          <w:noProof w:val="0"/>
          <w:rtl/>
        </w:rPr>
        <w:t xml:space="preserve"> לחתום על ההסכם במועד עריכתו. התובע טען, כי בנסיבות אלה הסכם המתנה לנתבע (אחיינו) בטל, ומשכך הוא זכאי להחזיק ב-3/4 מהזכויות הדירה (להלן: </w:t>
      </w:r>
      <w:r>
        <w:rPr>
          <w:rFonts w:ascii="Arial" w:hAnsi="Arial"/>
          <w:b/>
          <w:bCs/>
          <w:noProof w:val="0"/>
          <w:rtl/>
        </w:rPr>
        <w:t>"התביעה"</w:t>
      </w:r>
      <w:r>
        <w:rPr>
          <w:rFonts w:ascii="Arial" w:hAnsi="Arial"/>
          <w:noProof w:val="0"/>
          <w:rtl/>
        </w:rPr>
        <w:t xml:space="preserve">).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b/>
          <w:bCs/>
          <w:noProof w:val="0"/>
          <w:rtl/>
        </w:rPr>
        <w:t>ביום 17.12.2017 הוגש כתב ההגנה</w:t>
      </w:r>
      <w:r>
        <w:rPr>
          <w:rFonts w:ascii="Arial" w:hAnsi="Arial"/>
          <w:noProof w:val="0"/>
          <w:rtl/>
        </w:rPr>
        <w:t>, שבו טען הנתבע כי הסכם המתנה נערך כדין והזכויות בדירה שייכות לו.</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התובענה דנן התנהלה לפני כבוד השופטת בדימוס נלי רוסמן גליס עד לפרישתה, וביום 8.2.2021 הועברה התובענה לטיפול מותב זה.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b/>
          <w:bCs/>
          <w:noProof w:val="0"/>
          <w:rtl/>
        </w:rPr>
        <w:t>ביום 26.7.2018 מונתה הגרפולוגית</w:t>
      </w:r>
      <w:r>
        <w:rPr>
          <w:rFonts w:ascii="Arial" w:hAnsi="Arial"/>
          <w:noProof w:val="0"/>
          <w:rtl/>
        </w:rPr>
        <w:t xml:space="preserve">, איה שוחט, כמומחית מטעם בית המשפט (להלן: </w:t>
      </w:r>
      <w:r>
        <w:rPr>
          <w:rFonts w:ascii="Arial" w:hAnsi="Arial"/>
          <w:b/>
          <w:bCs/>
          <w:noProof w:val="0"/>
          <w:rtl/>
        </w:rPr>
        <w:t>"המומחית"</w:t>
      </w:r>
      <w:r>
        <w:rPr>
          <w:rFonts w:ascii="Arial" w:hAnsi="Arial"/>
          <w:noProof w:val="0"/>
          <w:rtl/>
        </w:rPr>
        <w:t>), לצורך בחינת טענת הזיוף של חתימת המנוחה על הסכם המתנה.</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lastRenderedPageBreak/>
        <w:t>ביום 3.1.20219 הוגשה חוות הדעת של המומחית</w:t>
      </w:r>
      <w:r>
        <w:rPr>
          <w:rFonts w:ascii="Arial" w:hAnsi="Arial"/>
          <w:noProof w:val="0"/>
          <w:rtl/>
        </w:rPr>
        <w:t xml:space="preserve"> (להלן: </w:t>
      </w:r>
      <w:r>
        <w:rPr>
          <w:rFonts w:ascii="Arial" w:hAnsi="Arial"/>
          <w:b/>
          <w:bCs/>
          <w:noProof w:val="0"/>
          <w:rtl/>
        </w:rPr>
        <w:t>"חוות דעת המומחית"</w:t>
      </w:r>
      <w:r>
        <w:rPr>
          <w:rFonts w:ascii="Arial" w:hAnsi="Arial"/>
          <w:noProof w:val="0"/>
          <w:rtl/>
        </w:rPr>
        <w:t>).</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t>ביום 3.1.2019</w:t>
      </w:r>
      <w:r>
        <w:rPr>
          <w:rFonts w:ascii="Arial" w:hAnsi="Arial"/>
          <w:noProof w:val="0"/>
          <w:rtl/>
        </w:rPr>
        <w:t xml:space="preserve"> </w:t>
      </w:r>
      <w:r>
        <w:rPr>
          <w:rFonts w:ascii="Arial" w:hAnsi="Arial"/>
          <w:b/>
          <w:bCs/>
          <w:noProof w:val="0"/>
          <w:rtl/>
        </w:rPr>
        <w:t>ניתנה החלטה</w:t>
      </w:r>
      <w:r>
        <w:rPr>
          <w:rFonts w:ascii="Arial" w:hAnsi="Arial"/>
          <w:noProof w:val="0"/>
          <w:rtl/>
        </w:rPr>
        <w:t xml:space="preserve"> על ידי כבוד השופטת בדימוס, נלי רוסמן גליס, אשר דחתה את בקשת הנתבע לצירופו של </w:t>
      </w:r>
      <w:r w:rsidR="0036596F">
        <w:rPr>
          <w:rFonts w:ascii="Arial" w:hAnsi="Arial" w:hint="cs"/>
          <w:noProof w:val="0"/>
          <w:rtl/>
        </w:rPr>
        <w:t>פ'</w:t>
      </w:r>
      <w:r>
        <w:rPr>
          <w:rFonts w:ascii="Arial" w:hAnsi="Arial"/>
          <w:noProof w:val="0"/>
          <w:rtl/>
        </w:rPr>
        <w:t xml:space="preserve"> – כנתבע נוסף בתובענה. </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t>ביום 28.2.2019</w:t>
      </w:r>
      <w:r>
        <w:rPr>
          <w:rFonts w:ascii="Arial" w:hAnsi="Arial"/>
          <w:noProof w:val="0"/>
          <w:rtl/>
        </w:rPr>
        <w:t xml:space="preserve"> </w:t>
      </w:r>
      <w:r>
        <w:rPr>
          <w:rFonts w:ascii="Arial" w:hAnsi="Arial"/>
          <w:b/>
          <w:bCs/>
          <w:noProof w:val="0"/>
          <w:rtl/>
        </w:rPr>
        <w:t>מונה פרופ' שמואל פניג כמומחה מטעם בית משפט</w:t>
      </w:r>
      <w:r>
        <w:rPr>
          <w:rFonts w:ascii="Arial" w:hAnsi="Arial"/>
          <w:noProof w:val="0"/>
          <w:rtl/>
        </w:rPr>
        <w:t xml:space="preserve"> (להלן: </w:t>
      </w:r>
      <w:r>
        <w:rPr>
          <w:rFonts w:ascii="Arial" w:hAnsi="Arial"/>
          <w:b/>
          <w:bCs/>
          <w:noProof w:val="0"/>
          <w:rtl/>
        </w:rPr>
        <w:t>"המומחה"</w:t>
      </w:r>
      <w:r>
        <w:rPr>
          <w:rFonts w:ascii="Arial" w:hAnsi="Arial"/>
          <w:noProof w:val="0"/>
          <w:rtl/>
        </w:rPr>
        <w:t xml:space="preserve">),  לצורך בחינת השאלה – האם ביום 25.10.2011 הייתה המנוחה כשירה לחתום על הסכם המתנה ועל ייפוי הכוח. </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t>ביום 16.6.2019 הגיש המומחה את חוות דעתו</w:t>
      </w:r>
      <w:r>
        <w:rPr>
          <w:rFonts w:ascii="Arial" w:hAnsi="Arial"/>
          <w:noProof w:val="0"/>
          <w:rtl/>
        </w:rPr>
        <w:t xml:space="preserve"> (להלן: </w:t>
      </w:r>
      <w:r>
        <w:rPr>
          <w:rFonts w:ascii="Arial" w:hAnsi="Arial"/>
          <w:b/>
          <w:bCs/>
          <w:noProof w:val="0"/>
          <w:rtl/>
        </w:rPr>
        <w:t>"חוות דעת המומחה"</w:t>
      </w:r>
      <w:r>
        <w:rPr>
          <w:rFonts w:ascii="Arial" w:hAnsi="Arial"/>
          <w:noProof w:val="0"/>
          <w:rtl/>
        </w:rPr>
        <w:t>).</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t>ביום 19.2.2020</w:t>
      </w:r>
      <w:r>
        <w:rPr>
          <w:rFonts w:ascii="Arial" w:hAnsi="Arial"/>
          <w:noProof w:val="0"/>
          <w:rtl/>
        </w:rPr>
        <w:t xml:space="preserve"> התירה כבוד השופטת בדימוס, נלי רוסמן גליס, לנתבע להעביר למומחה שאלות הבהרה. המומחה הגיש תשובותיו לשאלות ביום 25.5.2020.</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t>ביום 9.5.2023</w:t>
      </w:r>
      <w:r>
        <w:rPr>
          <w:rFonts w:ascii="Arial" w:hAnsi="Arial"/>
          <w:noProof w:val="0"/>
          <w:rtl/>
        </w:rPr>
        <w:t xml:space="preserve"> התקיים דיון שבו נחקר המומחה על חוות דעתו. </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t>ביום 18.2.2024</w:t>
      </w:r>
      <w:r>
        <w:rPr>
          <w:rFonts w:ascii="Arial" w:hAnsi="Arial"/>
          <w:noProof w:val="0"/>
          <w:rtl/>
        </w:rPr>
        <w:t xml:space="preserve"> התקיים דיון הוכחות שבו נחקרו עדי התובע: הגברת </w:t>
      </w:r>
      <w:r w:rsidR="0036596F">
        <w:rPr>
          <w:rFonts w:ascii="Arial" w:hAnsi="Arial" w:hint="cs"/>
          <w:noProof w:val="0"/>
          <w:rtl/>
        </w:rPr>
        <w:t>ב'</w:t>
      </w:r>
      <w:r>
        <w:rPr>
          <w:rFonts w:ascii="Arial" w:hAnsi="Arial"/>
          <w:noProof w:val="0"/>
          <w:rtl/>
        </w:rPr>
        <w:t xml:space="preserve"> (לא הגישה תצהיר עדות ראשית), </w:t>
      </w:r>
      <w:r w:rsidR="0036596F">
        <w:rPr>
          <w:rFonts w:ascii="Arial" w:hAnsi="Arial" w:hint="cs"/>
          <w:noProof w:val="0"/>
          <w:rtl/>
        </w:rPr>
        <w:t>פ'</w:t>
      </w:r>
      <w:r>
        <w:rPr>
          <w:rFonts w:ascii="Arial" w:hAnsi="Arial"/>
          <w:noProof w:val="0"/>
          <w:rtl/>
        </w:rPr>
        <w:t xml:space="preserve"> </w:t>
      </w:r>
      <w:r w:rsidR="0036596F">
        <w:rPr>
          <w:rFonts w:ascii="Arial" w:hAnsi="Arial"/>
          <w:noProof w:val="0"/>
          <w:rtl/>
        </w:rPr>
        <w:t>והתובע. עוד נחקרו עדי הנתבע: ד</w:t>
      </w:r>
      <w:r w:rsidR="0036596F">
        <w:rPr>
          <w:rFonts w:ascii="Arial" w:hAnsi="Arial" w:hint="cs"/>
          <w:noProof w:val="0"/>
          <w:rtl/>
        </w:rPr>
        <w:t>'</w:t>
      </w:r>
      <w:r>
        <w:rPr>
          <w:rFonts w:ascii="Arial" w:hAnsi="Arial"/>
          <w:noProof w:val="0"/>
          <w:rtl/>
        </w:rPr>
        <w:t xml:space="preserve"> והנתבע.</w:t>
      </w:r>
    </w:p>
    <w:p w:rsidR="00DB218F" w:rsidRDefault="00DB218F" w:rsidP="0036596F">
      <w:pPr>
        <w:pStyle w:val="a9"/>
        <w:numPr>
          <w:ilvl w:val="0"/>
          <w:numId w:val="4"/>
        </w:numPr>
        <w:spacing w:after="220" w:line="360" w:lineRule="auto"/>
        <w:ind w:left="0" w:firstLine="0"/>
        <w:contextualSpacing w:val="0"/>
        <w:jc w:val="both"/>
        <w:rPr>
          <w:rFonts w:ascii="Arial" w:hAnsi="Arial"/>
          <w:noProof w:val="0"/>
        </w:rPr>
      </w:pPr>
      <w:r>
        <w:rPr>
          <w:rFonts w:ascii="Arial" w:hAnsi="Arial"/>
          <w:b/>
          <w:bCs/>
          <w:noProof w:val="0"/>
          <w:rtl/>
        </w:rPr>
        <w:t>ביום 21.5.2024</w:t>
      </w:r>
      <w:r>
        <w:rPr>
          <w:rFonts w:ascii="Arial" w:hAnsi="Arial"/>
          <w:noProof w:val="0"/>
          <w:rtl/>
        </w:rPr>
        <w:t xml:space="preserve"> התקיים דיון</w:t>
      </w:r>
      <w:r w:rsidR="0036596F">
        <w:rPr>
          <w:rFonts w:ascii="Arial" w:hAnsi="Arial"/>
          <w:noProof w:val="0"/>
          <w:rtl/>
        </w:rPr>
        <w:t xml:space="preserve"> הוכחות נוסף, שבו נחקר עו"ד </w:t>
      </w:r>
      <w:r w:rsidR="0036596F">
        <w:rPr>
          <w:rFonts w:ascii="Arial" w:hAnsi="Arial" w:hint="cs"/>
          <w:noProof w:val="0"/>
          <w:rtl/>
        </w:rPr>
        <w:t xml:space="preserve">ר' </w:t>
      </w:r>
      <w:r>
        <w:rPr>
          <w:rFonts w:ascii="Arial" w:hAnsi="Arial"/>
          <w:noProof w:val="0"/>
          <w:rtl/>
        </w:rPr>
        <w:t xml:space="preserve"> – עד מטעם הנתבע.</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הצדדים הגישו סיכום טענותיהם ועתה בשלה העת למתן פסק דין בתובענה. </w:t>
      </w:r>
    </w:p>
    <w:p w:rsidR="00DB218F" w:rsidRDefault="00DB218F" w:rsidP="00DB218F">
      <w:pPr>
        <w:spacing w:after="120" w:line="360" w:lineRule="auto"/>
        <w:jc w:val="both"/>
        <w:rPr>
          <w:rFonts w:ascii="Arial" w:hAnsi="Arial"/>
          <w:b/>
          <w:bCs/>
          <w:noProof w:val="0"/>
          <w:sz w:val="28"/>
          <w:szCs w:val="28"/>
          <w:u w:val="single"/>
        </w:rPr>
      </w:pPr>
      <w:r>
        <w:rPr>
          <w:rFonts w:ascii="Arial" w:hAnsi="Arial"/>
          <w:b/>
          <w:bCs/>
          <w:noProof w:val="0"/>
          <w:sz w:val="28"/>
          <w:szCs w:val="28"/>
          <w:u w:val="single"/>
          <w:rtl/>
        </w:rPr>
        <w:t>דיון והכרעה</w:t>
      </w:r>
    </w:p>
    <w:p w:rsidR="00DB218F" w:rsidRDefault="00DB218F" w:rsidP="00DB218F">
      <w:pPr>
        <w:spacing w:after="120" w:line="360" w:lineRule="auto"/>
        <w:jc w:val="both"/>
        <w:rPr>
          <w:rFonts w:ascii="Arial" w:hAnsi="Arial"/>
          <w:b/>
          <w:bCs/>
          <w:noProof w:val="0"/>
          <w:sz w:val="28"/>
          <w:szCs w:val="28"/>
          <w:u w:val="single"/>
          <w:rtl/>
        </w:rPr>
      </w:pPr>
      <w:r>
        <w:rPr>
          <w:rFonts w:ascii="Arial" w:hAnsi="Arial"/>
          <w:b/>
          <w:bCs/>
          <w:noProof w:val="0"/>
          <w:sz w:val="28"/>
          <w:szCs w:val="28"/>
          <w:u w:val="single"/>
          <w:rtl/>
        </w:rPr>
        <w:t>הצדדים לתובענה והסעד המבוקש</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tl/>
        </w:rPr>
      </w:pPr>
      <w:r>
        <w:rPr>
          <w:rFonts w:ascii="Arial" w:hAnsi="Arial"/>
          <w:noProof w:val="0"/>
          <w:rtl/>
        </w:rPr>
        <w:t xml:space="preserve">התובע בחר להגיש תביעה למתן פסק דין הצהרתי הקובע כי 3/4 מהזכויות בדירה שייכות לו, ולהגישה כנגד הנתבע בלבד.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Arial" w:hAnsi="Arial"/>
          <w:noProof w:val="0"/>
          <w:rtl/>
        </w:rPr>
        <w:t xml:space="preserve">הצהרה כי לתובע 3/4 זכויות בדירה טומנת בחובה שתי קביעות שונות: </w:t>
      </w:r>
    </w:p>
    <w:p w:rsidR="00DB218F" w:rsidRDefault="00DB218F" w:rsidP="0036596F">
      <w:pPr>
        <w:pStyle w:val="1"/>
        <w:tabs>
          <w:tab w:val="left" w:pos="0"/>
        </w:tabs>
        <w:spacing w:after="240" w:line="360" w:lineRule="auto"/>
        <w:ind w:left="0" w:firstLine="708"/>
        <w:contextualSpacing w:val="0"/>
        <w:jc w:val="both"/>
        <w:rPr>
          <w:rFonts w:ascii="Arial" w:hAnsi="Arial"/>
          <w:noProof w:val="0"/>
        </w:rPr>
      </w:pPr>
      <w:r>
        <w:rPr>
          <w:rFonts w:ascii="Arial" w:hAnsi="Arial"/>
          <w:b/>
          <w:bCs/>
          <w:noProof w:val="0"/>
          <w:rtl/>
        </w:rPr>
        <w:t>האחת</w:t>
      </w:r>
      <w:r>
        <w:rPr>
          <w:rFonts w:ascii="Arial" w:hAnsi="Arial"/>
          <w:noProof w:val="0"/>
          <w:rtl/>
        </w:rPr>
        <w:t>, הסכם המתנה בטל וכפועל יוצא הדירה נכללת במסת נכסי עיזבון המנוחה;</w:t>
      </w:r>
    </w:p>
    <w:p w:rsidR="00DB218F" w:rsidRDefault="00DB218F" w:rsidP="0036596F">
      <w:pPr>
        <w:pStyle w:val="1"/>
        <w:tabs>
          <w:tab w:val="left" w:pos="0"/>
        </w:tabs>
        <w:spacing w:after="240" w:line="360" w:lineRule="auto"/>
        <w:ind w:left="0" w:firstLine="708"/>
        <w:contextualSpacing w:val="0"/>
        <w:jc w:val="both"/>
        <w:rPr>
          <w:rFonts w:ascii="David" w:hAnsi="David"/>
          <w:color w:val="000000"/>
          <w:rtl/>
        </w:rPr>
      </w:pPr>
      <w:r>
        <w:rPr>
          <w:rFonts w:ascii="Arial" w:hAnsi="Arial"/>
          <w:b/>
          <w:bCs/>
          <w:noProof w:val="0"/>
          <w:rtl/>
        </w:rPr>
        <w:t>השנייה,</w:t>
      </w:r>
      <w:r>
        <w:rPr>
          <w:rFonts w:ascii="Arial" w:hAnsi="Arial"/>
          <w:noProof w:val="0"/>
          <w:rtl/>
        </w:rPr>
        <w:t xml:space="preserve"> הסכמי חלוקת העיזבון עומדים בתוקפם ויש לקיימם.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David" w:hAnsi="David"/>
          <w:noProof w:val="0"/>
          <w:color w:val="000000"/>
          <w:rtl/>
        </w:rPr>
        <w:t xml:space="preserve">בענייננו נערך </w:t>
      </w:r>
      <w:r>
        <w:rPr>
          <w:rFonts w:ascii="David" w:hAnsi="David"/>
          <w:b/>
          <w:bCs/>
          <w:noProof w:val="0"/>
          <w:color w:val="000000"/>
          <w:rtl/>
        </w:rPr>
        <w:t>הסכם מתנה</w:t>
      </w:r>
      <w:r>
        <w:rPr>
          <w:rFonts w:ascii="David" w:hAnsi="David"/>
          <w:noProof w:val="0"/>
          <w:color w:val="000000"/>
          <w:rtl/>
        </w:rPr>
        <w:t xml:space="preserve"> בין המנוחה לבין הנתבע. על פי ההסכם המנוחה העבירה את מלוא הזכויות שהיו לה בדירה לנתבע ללא תמורה. בנסיבות אלה, לצורך הקביעה כי הסכם המתנה בטל –</w:t>
      </w:r>
      <w:r w:rsidR="0036596F">
        <w:rPr>
          <w:rFonts w:ascii="David" w:hAnsi="David" w:hint="cs"/>
          <w:noProof w:val="0"/>
          <w:color w:val="000000"/>
          <w:rtl/>
        </w:rPr>
        <w:t xml:space="preserve"> </w:t>
      </w:r>
      <w:r>
        <w:rPr>
          <w:rFonts w:ascii="David" w:hAnsi="David"/>
          <w:noProof w:val="0"/>
          <w:color w:val="000000"/>
          <w:rtl/>
        </w:rPr>
        <w:t xml:space="preserve">בחירתו של התובע להגיש את התובענה כנגד הנתבע נכונה היא, והוא הנתבע הדרוש לצורך כך. </w:t>
      </w:r>
    </w:p>
    <w:p w:rsidR="00DB218F" w:rsidRDefault="00DB218F" w:rsidP="0036596F">
      <w:pPr>
        <w:pStyle w:val="a9"/>
        <w:spacing w:after="120" w:line="360" w:lineRule="auto"/>
        <w:ind w:left="0" w:firstLine="709"/>
        <w:contextualSpacing w:val="0"/>
        <w:jc w:val="both"/>
        <w:rPr>
          <w:rFonts w:ascii="Arial" w:hAnsi="Arial"/>
          <w:noProof w:val="0"/>
        </w:rPr>
      </w:pPr>
      <w:r>
        <w:rPr>
          <w:rFonts w:ascii="Arial" w:hAnsi="Arial"/>
          <w:noProof w:val="0"/>
          <w:rtl/>
        </w:rPr>
        <w:lastRenderedPageBreak/>
        <w:t>כבוד השופטת בדימוס, נלי רוסמן גליס, דחתה בהחלטה מיום 3.1</w:t>
      </w:r>
      <w:r w:rsidR="0036596F">
        <w:rPr>
          <w:rFonts w:ascii="Arial" w:hAnsi="Arial"/>
          <w:noProof w:val="0"/>
          <w:rtl/>
        </w:rPr>
        <w:t xml:space="preserve">.2019 את בקשת הנתבע לצירופו של </w:t>
      </w:r>
      <w:r w:rsidR="0036596F">
        <w:rPr>
          <w:rFonts w:ascii="Arial" w:hAnsi="Arial" w:hint="cs"/>
          <w:noProof w:val="0"/>
          <w:rtl/>
        </w:rPr>
        <w:t>פ'</w:t>
      </w:r>
      <w:r>
        <w:rPr>
          <w:rFonts w:ascii="Arial" w:hAnsi="Arial"/>
          <w:noProof w:val="0"/>
          <w:rtl/>
        </w:rPr>
        <w:t xml:space="preserve"> – כנתבע נוסף בתובענה, בקובעה כדלקמן:</w:t>
      </w:r>
    </w:p>
    <w:p w:rsidR="00DB218F" w:rsidRDefault="00DB218F" w:rsidP="0036596F">
      <w:pPr>
        <w:pStyle w:val="a9"/>
        <w:spacing w:after="120"/>
        <w:ind w:left="1134" w:right="1134"/>
        <w:jc w:val="both"/>
        <w:rPr>
          <w:b/>
          <w:bCs/>
          <w:rtl/>
        </w:rPr>
      </w:pPr>
      <w:r>
        <w:rPr>
          <w:rFonts w:ascii="Arial" w:hAnsi="Arial"/>
          <w:noProof w:val="0"/>
          <w:rtl/>
        </w:rPr>
        <w:t xml:space="preserve"> </w:t>
      </w:r>
      <w:r>
        <w:rPr>
          <w:rFonts w:ascii="Arial" w:hAnsi="Arial"/>
          <w:b/>
          <w:bCs/>
          <w:noProof w:val="0"/>
          <w:rtl/>
        </w:rPr>
        <w:t xml:space="preserve">"1. </w:t>
      </w:r>
      <w:r>
        <w:rPr>
          <w:b/>
          <w:bCs/>
          <w:rtl/>
        </w:rPr>
        <w:t>התובענה הינה תובענה לסעד הצהרתי ולפיו הזכויות במקרקעין שייכות לעזבון המנוחה ז"ל, וזאת לאור זכויות לכאוריות להן טוען הנתבע מכח הסכם העברה ללא תמורה של הזכויות מהמנוחה על שמו.</w:t>
      </w:r>
    </w:p>
    <w:p w:rsidR="00DB218F" w:rsidRDefault="00DB218F" w:rsidP="0036596F">
      <w:pPr>
        <w:pStyle w:val="a9"/>
        <w:spacing w:after="240"/>
        <w:ind w:left="1134" w:right="1134"/>
        <w:contextualSpacing w:val="0"/>
        <w:jc w:val="both"/>
        <w:rPr>
          <w:b/>
          <w:bCs/>
          <w:rtl/>
        </w:rPr>
      </w:pPr>
      <w:r>
        <w:rPr>
          <w:b/>
          <w:bCs/>
          <w:rtl/>
        </w:rPr>
        <w:t xml:space="preserve">2. במסגרת עילת התביעה אין כל טענה כנגד מר </w:t>
      </w:r>
      <w:r w:rsidR="0036596F">
        <w:rPr>
          <w:rFonts w:hint="cs"/>
          <w:b/>
          <w:bCs/>
          <w:rtl/>
        </w:rPr>
        <w:t>פ'</w:t>
      </w:r>
      <w:r>
        <w:rPr>
          <w:b/>
          <w:bCs/>
          <w:rtl/>
        </w:rPr>
        <w:t xml:space="preserve">, ומשכך אין כל רלוונטיות לצרפו כנתבע ...". </w:t>
      </w:r>
    </w:p>
    <w:p w:rsidR="00DB218F" w:rsidRDefault="00DB218F" w:rsidP="00DB218F">
      <w:pPr>
        <w:pStyle w:val="a9"/>
        <w:spacing w:after="240" w:line="360" w:lineRule="auto"/>
        <w:ind w:left="0" w:firstLine="708"/>
        <w:jc w:val="both"/>
        <w:rPr>
          <w:rFonts w:ascii="Arial" w:hAnsi="Arial"/>
          <w:noProof w:val="0"/>
          <w:rtl/>
        </w:rPr>
      </w:pPr>
      <w:r>
        <w:rPr>
          <w:rFonts w:ascii="Arial" w:hAnsi="Arial"/>
          <w:noProof w:val="0"/>
          <w:rtl/>
        </w:rPr>
        <w:t>לו אכן היה המדובר בתובענה המתייחסת להסכם המתנה בלבד, אכן היה הנתבע צד דרוש יחידי בלבד. אלא מאי? – שלתביעה רובד נוסף, המתייחס להסכמי חלוקת העיזבון ותוקפם. יודגש כי על החלטה זו לא הוגשה בקשת רשות ערעור. ולכך יש נפקות, והדברים ברורים.</w:t>
      </w:r>
    </w:p>
    <w:p w:rsidR="00DB218F" w:rsidRDefault="00DB218F" w:rsidP="0036596F">
      <w:pPr>
        <w:pStyle w:val="1"/>
        <w:numPr>
          <w:ilvl w:val="0"/>
          <w:numId w:val="4"/>
        </w:numPr>
        <w:tabs>
          <w:tab w:val="left" w:pos="0"/>
        </w:tabs>
        <w:spacing w:after="240" w:line="360" w:lineRule="auto"/>
        <w:ind w:left="0" w:firstLine="0"/>
        <w:jc w:val="both"/>
        <w:rPr>
          <w:rFonts w:ascii="David" w:hAnsi="David"/>
          <w:b/>
          <w:bCs/>
          <w:color w:val="000000"/>
        </w:rPr>
      </w:pPr>
      <w:r>
        <w:rPr>
          <w:rFonts w:ascii="Arial" w:hAnsi="Arial"/>
          <w:noProof w:val="0"/>
          <w:rtl/>
        </w:rPr>
        <w:t xml:space="preserve">לעומת הסכם המתנה, שנערך בין הנתבע לבין המנוחה, </w:t>
      </w:r>
      <w:r>
        <w:rPr>
          <w:rFonts w:ascii="Arial" w:hAnsi="Arial"/>
          <w:b/>
          <w:bCs/>
          <w:noProof w:val="0"/>
          <w:rtl/>
        </w:rPr>
        <w:t>הסכמי חלוקת העיזבון</w:t>
      </w:r>
      <w:r>
        <w:rPr>
          <w:rFonts w:ascii="Arial" w:hAnsi="Arial"/>
          <w:noProof w:val="0"/>
          <w:rtl/>
        </w:rPr>
        <w:t xml:space="preserve"> נערכו בין התובע ובין אחיו</w:t>
      </w:r>
      <w:r w:rsidR="0036596F">
        <w:rPr>
          <w:rFonts w:ascii="David" w:hAnsi="David"/>
          <w:color w:val="000000"/>
          <w:rtl/>
        </w:rPr>
        <w:t xml:space="preserve"> (ד</w:t>
      </w:r>
      <w:r w:rsidR="0036596F">
        <w:rPr>
          <w:rFonts w:ascii="David" w:hAnsi="David" w:hint="cs"/>
          <w:color w:val="000000"/>
          <w:rtl/>
        </w:rPr>
        <w:t>'</w:t>
      </w:r>
      <w:r w:rsidR="0036596F">
        <w:rPr>
          <w:rFonts w:ascii="David" w:hAnsi="David"/>
          <w:color w:val="000000"/>
          <w:rtl/>
        </w:rPr>
        <w:t xml:space="preserve"> ו</w:t>
      </w:r>
      <w:r w:rsidR="0036596F">
        <w:rPr>
          <w:rFonts w:ascii="David" w:hAnsi="David" w:hint="cs"/>
          <w:color w:val="000000"/>
          <w:rtl/>
        </w:rPr>
        <w:t>-פ'</w:t>
      </w:r>
      <w:r>
        <w:rPr>
          <w:rFonts w:ascii="David" w:hAnsi="David"/>
          <w:color w:val="000000"/>
          <w:rtl/>
        </w:rPr>
        <w:t xml:space="preserve">). הנתבע הוא אינו צד להסכמי חלוקת העיזבון. </w:t>
      </w:r>
      <w:r>
        <w:rPr>
          <w:rFonts w:ascii="Arial" w:hAnsi="Arial"/>
          <w:noProof w:val="0"/>
          <w:rtl/>
        </w:rPr>
        <w:t xml:space="preserve">הצדדים להסכמי חלוקת העיזבון לא צורפו כנתבעים </w:t>
      </w:r>
      <w:r>
        <w:rPr>
          <w:rFonts w:ascii="Arial" w:hAnsi="Arial"/>
          <w:b/>
          <w:bCs/>
          <w:noProof w:val="0"/>
          <w:rtl/>
        </w:rPr>
        <w:t>והתובע א</w:t>
      </w:r>
      <w:r w:rsidR="0036596F">
        <w:rPr>
          <w:rFonts w:ascii="Arial" w:hAnsi="Arial"/>
          <w:b/>
          <w:bCs/>
          <w:noProof w:val="0"/>
          <w:rtl/>
        </w:rPr>
        <w:t xml:space="preserve">ף התנגד לבקשת הנתבע לצירופו של </w:t>
      </w:r>
      <w:r w:rsidR="0036596F">
        <w:rPr>
          <w:rFonts w:ascii="Arial" w:hAnsi="Arial" w:hint="cs"/>
          <w:b/>
          <w:bCs/>
          <w:noProof w:val="0"/>
          <w:rtl/>
        </w:rPr>
        <w:t>פ'</w:t>
      </w:r>
      <w:r>
        <w:rPr>
          <w:rFonts w:ascii="Arial" w:hAnsi="Arial"/>
          <w:b/>
          <w:bCs/>
          <w:noProof w:val="0"/>
          <w:rtl/>
        </w:rPr>
        <w:t xml:space="preserve"> כנתבע.</w:t>
      </w:r>
      <w:r>
        <w:rPr>
          <w:rFonts w:ascii="David" w:hAnsi="David"/>
          <w:b/>
          <w:bCs/>
          <w:color w:val="000000"/>
          <w:rtl/>
        </w:rPr>
        <w:t xml:space="preserve"> משכך אין לו אלא להלין על עצמו בלבד.</w:t>
      </w:r>
    </w:p>
    <w:p w:rsidR="00DB218F" w:rsidRDefault="00DB218F" w:rsidP="00DB218F">
      <w:pPr>
        <w:pStyle w:val="a9"/>
        <w:numPr>
          <w:ilvl w:val="0"/>
          <w:numId w:val="4"/>
        </w:numPr>
        <w:spacing w:after="120" w:line="360" w:lineRule="auto"/>
        <w:ind w:left="0" w:firstLine="0"/>
        <w:jc w:val="both"/>
        <w:rPr>
          <w:rFonts w:ascii="David" w:hAnsi="David"/>
          <w:noProof w:val="0"/>
        </w:rPr>
      </w:pPr>
      <w:r>
        <w:rPr>
          <w:rFonts w:ascii="Arial" w:hAnsi="Arial"/>
          <w:noProof w:val="0"/>
          <w:rtl/>
        </w:rPr>
        <w:t>בפסיקת בית המשפט העליון הובהר, כי התובע הוא "</w:t>
      </w:r>
      <w:r>
        <w:rPr>
          <w:rFonts w:ascii="Arial" w:hAnsi="Arial"/>
          <w:b/>
          <w:bCs/>
          <w:noProof w:val="0"/>
          <w:rtl/>
        </w:rPr>
        <w:t>אדון לתביעתו</w:t>
      </w:r>
      <w:r>
        <w:rPr>
          <w:rFonts w:ascii="Arial" w:hAnsi="Arial"/>
          <w:noProof w:val="0"/>
          <w:rtl/>
        </w:rPr>
        <w:t xml:space="preserve">", ונתונה לו החירות </w:t>
      </w:r>
      <w:r>
        <w:rPr>
          <w:rFonts w:ascii="Arial" w:hAnsi="Arial"/>
          <w:b/>
          <w:bCs/>
          <w:noProof w:val="0"/>
          <w:rtl/>
        </w:rPr>
        <w:t>היחסית</w:t>
      </w:r>
      <w:r>
        <w:rPr>
          <w:rFonts w:ascii="Arial" w:hAnsi="Arial"/>
          <w:noProof w:val="0"/>
          <w:rtl/>
        </w:rPr>
        <w:t xml:space="preserve"> לבחור את הצדדים לדיון תוך שהוא מעצב את גבולות המחלוקת. עם זאת, הודגש כי בבחירתו הוא נוטל סיכון שלפיו אי-צירופו של צד נדרש לתובענה יוביל לכך שאותו צד לא יהיה כבול בתוצאותיו המשפטיות של ההליך. עוד נקבע כי בתובענה למתן פסק דין הצהרתי יש לנקוט הקפדה יתרה ביחס למיהות הצדדים להליך, וזאת משעה שפסק הדין שיינתן יפה כלפי כולי עלמא. יש להקפיד ולצרף צדדים שברור כי הם בעלי אינטרס ישיר בתוצאות ההליך והם עלולים להיפגע מתוצאותיו. ראו רע"א 1491/24 </w:t>
      </w:r>
      <w:r>
        <w:rPr>
          <w:rFonts w:ascii="Arial" w:hAnsi="Arial"/>
          <w:b/>
          <w:bCs/>
          <w:noProof w:val="0"/>
          <w:rtl/>
        </w:rPr>
        <w:t>גיל גבאי נ' יעל קפיטולניק</w:t>
      </w:r>
      <w:r>
        <w:rPr>
          <w:rFonts w:ascii="Arial" w:hAnsi="Arial"/>
          <w:noProof w:val="0"/>
          <w:rtl/>
        </w:rPr>
        <w:t>, פס' 15 (13.5.2024) (להלן:</w:t>
      </w:r>
      <w:r>
        <w:rPr>
          <w:rFonts w:ascii="Arial" w:hAnsi="Arial"/>
          <w:b/>
          <w:bCs/>
          <w:noProof w:val="0"/>
          <w:rtl/>
        </w:rPr>
        <w:t xml:space="preserve"> "עניין קפיטולניק"</w:t>
      </w:r>
      <w:r>
        <w:rPr>
          <w:rFonts w:ascii="Arial" w:hAnsi="Arial"/>
          <w:noProof w:val="0"/>
          <w:rtl/>
        </w:rPr>
        <w:t xml:space="preserve">): </w:t>
      </w:r>
    </w:p>
    <w:p w:rsidR="00DB218F" w:rsidRDefault="00DB218F" w:rsidP="00DB218F">
      <w:pPr>
        <w:pStyle w:val="a9"/>
        <w:ind w:left="851" w:right="1134"/>
        <w:jc w:val="both"/>
        <w:rPr>
          <w:rFonts w:ascii="David" w:hAnsi="David"/>
          <w:b/>
          <w:bCs/>
          <w:noProof w:val="0"/>
        </w:rPr>
      </w:pPr>
      <w:r>
        <w:rPr>
          <w:rFonts w:ascii="David" w:hAnsi="David"/>
          <w:b/>
          <w:bCs/>
          <w:noProof w:val="0"/>
          <w:rtl/>
        </w:rPr>
        <w:t xml:space="preserve">"...פסק דין שניתן מחייב, אך את מי שהיה צד להליך או את חליפו... זאת לאור העובדה שאין לפגוע בזכויותיו של אדם מבלי שהתאפשר לו לנהל הליך הוגן בעניינו. </w:t>
      </w:r>
    </w:p>
    <w:p w:rsidR="00DB218F" w:rsidRDefault="00DB218F" w:rsidP="00DB218F">
      <w:pPr>
        <w:tabs>
          <w:tab w:val="left" w:pos="800"/>
        </w:tabs>
        <w:ind w:left="851" w:right="1134"/>
        <w:jc w:val="both"/>
        <w:rPr>
          <w:rFonts w:ascii="David" w:hAnsi="David"/>
          <w:b/>
          <w:bCs/>
          <w:noProof w:val="0"/>
          <w:spacing w:val="10"/>
        </w:rPr>
      </w:pPr>
      <w:r>
        <w:rPr>
          <w:rFonts w:ascii="David" w:hAnsi="David"/>
          <w:b/>
          <w:bCs/>
          <w:spacing w:val="10"/>
          <w:rtl/>
        </w:rPr>
        <w:t xml:space="preserve">כלל זה מביא בחשבון את החירות היחסית המוענקת לתובע, שהוא "אדון לתביעתו" ורשאי על פי רוב לבחור את הצדדים לדיון תוך שהוא מעצב את גבולותיה של המחלוקת; כאשר הוא נושא בסיכון לפיו אי-צירוף צד יוביל לכך שצד זה לא יהיה כבול בתוצאותיו המשפטיות של ההליך (ראו" תקנה 27 לתקנות סדר הדין האזרחי, התשמ"ד-1984 (להלן: תקנות סדר הדין הישנות), אשר חלו בעת ניהול ההליך הקודם; ע"א 3464/22 אידל נ' מימון ישיר מקבוצת ישיר (2006) בע"מ, פסקה 41 [נבו] (5.11.2023), והאסמכתאות שם). </w:t>
      </w:r>
    </w:p>
    <w:p w:rsidR="00DB218F" w:rsidRDefault="00DB218F" w:rsidP="00DB218F">
      <w:pPr>
        <w:pStyle w:val="a9"/>
        <w:ind w:left="851" w:right="1134"/>
        <w:jc w:val="both"/>
        <w:rPr>
          <w:rFonts w:ascii="David" w:hAnsi="David"/>
          <w:b/>
          <w:bCs/>
          <w:noProof w:val="0"/>
          <w:rtl/>
        </w:rPr>
      </w:pPr>
      <w:r>
        <w:rPr>
          <w:rFonts w:ascii="David" w:hAnsi="David"/>
          <w:b/>
          <w:bCs/>
          <w:spacing w:val="10"/>
          <w:rtl/>
        </w:rPr>
        <w:t xml:space="preserve">עם זאת, כדי לאפשר קיומו של דיון יעיל ושלם בתובענה, וכן כדי שפסק הדין שיינתן יקים מעשה בית דין כלפי כל הצדדים הרלוונטיים, יש לצרף לדיון צדדים העשויים להיפגע מתוצאות ההליך (ראו: תקנה 24 לתקנות סדר הדין הישנות; ע"א 263/73 ועד הר הכרמל (כולל אחוזה) אגודת התושבים נ' בנק ישראלי למשכנתאות בע"מ, פ"ד כט(1) 263, 269-268 (1974) (להלן: עניין ועד הר הכרמל); רע"א 9572/06 שירותי בריאות כללית נ' קורלנד, פסקה 4 (25.6.2007); ע"א 7660/21 די.סי.אס חיזוק מבנים בע"מ נ' יוסף </w:t>
      </w:r>
      <w:r>
        <w:rPr>
          <w:rFonts w:ascii="David" w:hAnsi="David"/>
          <w:b/>
          <w:bCs/>
          <w:spacing w:val="10"/>
          <w:rtl/>
        </w:rPr>
        <w:lastRenderedPageBreak/>
        <w:t>כוכבה, פסקה 20 לפסק דינה של השופטת י' וילנר [נבו] (19.6.2023) (להלן: "ענין כוכבה"); רוזן-צבי, בעמודים 226-222)</w:t>
      </w:r>
      <w:r>
        <w:rPr>
          <w:rFonts w:ascii="David" w:hAnsi="David"/>
          <w:b/>
          <w:bCs/>
          <w:noProof w:val="0"/>
          <w:rtl/>
        </w:rPr>
        <w:t>...</w:t>
      </w:r>
    </w:p>
    <w:p w:rsidR="00DB218F" w:rsidRDefault="00DB218F" w:rsidP="00DB218F">
      <w:pPr>
        <w:ind w:left="851" w:right="1134"/>
        <w:jc w:val="both"/>
        <w:rPr>
          <w:rFonts w:ascii="David" w:hAnsi="David"/>
          <w:b/>
          <w:bCs/>
          <w:spacing w:val="10"/>
          <w:rtl/>
        </w:rPr>
      </w:pPr>
      <w:r>
        <w:rPr>
          <w:rFonts w:ascii="David" w:hAnsi="David"/>
          <w:b/>
          <w:bCs/>
          <w:spacing w:val="10"/>
          <w:rtl/>
        </w:rPr>
        <w:t>שונים הם פני הדברים כאשר מדובר בפסק דין "חפצא" (</w:t>
      </w:r>
      <w:r>
        <w:rPr>
          <w:rFonts w:ascii="David" w:hAnsi="David"/>
          <w:b/>
          <w:bCs/>
          <w:spacing w:val="10"/>
        </w:rPr>
        <w:t>In Rem</w:t>
      </w:r>
      <w:r>
        <w:rPr>
          <w:rFonts w:ascii="David" w:hAnsi="David"/>
          <w:b/>
          <w:bCs/>
          <w:spacing w:val="10"/>
          <w:rtl/>
        </w:rPr>
        <w:t xml:space="preserve">). בניגוד לפסקי דין "גברא", כוחם של פסקי דין כאלה, המסדירים את המעמד המשפטי של חפץ או אדם, יפה ביחס לכולי עלמא. ... משום כך, תחולת "השורה התחתונה" של פסק הדין החפצי לעולם תתפרש מעבר לבעלי הדין שהיו צד להליך המשפטי... זוהי גם הסיבה להקפדה היתרה הננקטת בהליכים חפציים ביחס למיהותם של צדדים להליך... </w:t>
      </w:r>
    </w:p>
    <w:p w:rsidR="00DB218F" w:rsidRDefault="00DB218F" w:rsidP="00DB218F">
      <w:pPr>
        <w:spacing w:after="240"/>
        <w:ind w:left="851" w:right="1134"/>
        <w:jc w:val="both"/>
        <w:rPr>
          <w:rFonts w:ascii="David" w:hAnsi="David"/>
          <w:b/>
          <w:bCs/>
          <w:spacing w:val="10"/>
          <w:rtl/>
        </w:rPr>
      </w:pPr>
      <w:r>
        <w:rPr>
          <w:rFonts w:ascii="David" w:hAnsi="David"/>
          <w:b/>
          <w:bCs/>
          <w:spacing w:val="10"/>
          <w:rtl/>
        </w:rPr>
        <w:t>אולם אף שפסק דין חפצא חל כלפי כולי עלמא (ומן הסתם לא ניתן לזמן לדיון בו את כל העולם), ישנם צדדים שנדרש לזמנם להליך, בהיותם צדדים הנחוצים על מנת לאפשר לבית המשפט "</w:t>
      </w:r>
      <w:r>
        <w:rPr>
          <w:rFonts w:ascii="David" w:hAnsi="David"/>
          <w:b/>
          <w:bCs/>
          <w:rtl/>
        </w:rPr>
        <w:t>לפסוק ביעילות ובשלמות</w:t>
      </w:r>
      <w:r>
        <w:rPr>
          <w:rFonts w:ascii="David" w:hAnsi="David"/>
          <w:b/>
          <w:bCs/>
          <w:spacing w:val="10"/>
          <w:rtl/>
        </w:rPr>
        <w:t>" (תקנה 24 לתקנות הישנות). מדובר בצדדים שברור כי יש להם אינטרס ישיר בתוצאות ההליך והם עלולים להיפגע מתוצאותיו. לכן, לא ניתן לקיים את הדיון בלעדיהם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David" w:hAnsi="David"/>
          <w:noProof w:val="0"/>
          <w:color w:val="000000"/>
          <w:rtl/>
        </w:rPr>
        <w:t xml:space="preserve">בנסיבות אלה ברי, כי על מנת לקבוע שהדירה לא ניתנה לנתבע במתנה, וכי היא נכללת במסת הנכסים של עיזבון המנוחה, היה על התובע להגיש תביעתו כנגד הנתבע בלבד. עם זאת, לא זהו הסעד לו עתר התובע. התובע בחר לבקש מבית המשפט להצהיר כי 3/4 מהזכויות בדירה שייכות לו, וזאת על סמך צוואת המנוחה והסכמי חלוקת העיזבון. לצורך קביעה זו </w:t>
      </w:r>
      <w:r w:rsidR="0036596F">
        <w:rPr>
          <w:rFonts w:ascii="David" w:hAnsi="David" w:hint="cs"/>
          <w:noProof w:val="0"/>
          <w:color w:val="000000"/>
          <w:rtl/>
        </w:rPr>
        <w:t>פ'</w:t>
      </w:r>
      <w:r>
        <w:rPr>
          <w:rFonts w:ascii="David" w:hAnsi="David"/>
          <w:noProof w:val="0"/>
          <w:color w:val="000000"/>
          <w:rtl/>
        </w:rPr>
        <w:t xml:space="preserve"> ו</w:t>
      </w:r>
      <w:r w:rsidR="0036596F">
        <w:rPr>
          <w:rFonts w:ascii="David" w:hAnsi="David" w:hint="cs"/>
          <w:noProof w:val="0"/>
          <w:color w:val="000000"/>
          <w:rtl/>
        </w:rPr>
        <w:t>-ד'</w:t>
      </w:r>
      <w:r>
        <w:rPr>
          <w:rFonts w:ascii="David" w:hAnsi="David"/>
          <w:noProof w:val="0"/>
          <w:color w:val="000000"/>
          <w:rtl/>
        </w:rPr>
        <w:t xml:space="preserve"> הם </w:t>
      </w:r>
      <w:r>
        <w:rPr>
          <w:rFonts w:ascii="Arial" w:hAnsi="Arial"/>
          <w:noProof w:val="0"/>
          <w:rtl/>
        </w:rPr>
        <w:t>צדדים הכרחיים לתובענה, שהרי תוצאת פסק הדין היא בת השפעה על זכויותיהם בדירה</w:t>
      </w:r>
      <w:r>
        <w:rPr>
          <w:rFonts w:ascii="David" w:hAnsi="David"/>
          <w:noProof w:val="0"/>
          <w:color w:val="000000"/>
          <w:rtl/>
        </w:rPr>
        <w:t xml:space="preserve">. לשם כך, היה על התובע לתבוע גם את </w:t>
      </w:r>
      <w:r w:rsidR="0036596F">
        <w:rPr>
          <w:rFonts w:ascii="David" w:hAnsi="David" w:hint="cs"/>
          <w:noProof w:val="0"/>
          <w:color w:val="000000"/>
          <w:rtl/>
        </w:rPr>
        <w:t>פ' ו-ד'</w:t>
      </w:r>
      <w:r>
        <w:rPr>
          <w:rFonts w:ascii="David" w:hAnsi="David"/>
          <w:noProof w:val="0"/>
          <w:color w:val="000000"/>
          <w:rtl/>
        </w:rPr>
        <w:t xml:space="preserve"> איתם נערכו הסכמי חלוקת העיזבון – דבר שכאמור לא נעשה.</w:t>
      </w:r>
      <w:r>
        <w:rPr>
          <w:rFonts w:ascii="David" w:hAnsi="David"/>
          <w:color w:val="000000"/>
          <w:rtl/>
        </w:rPr>
        <w:t xml:space="preserve">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b/>
          <w:bCs/>
          <w:color w:val="000000"/>
        </w:rPr>
      </w:pPr>
      <w:r>
        <w:rPr>
          <w:rFonts w:ascii="David" w:hAnsi="David"/>
          <w:color w:val="000000"/>
          <w:rtl/>
        </w:rPr>
        <w:t xml:space="preserve">משמיעת העדויות במהלך ניהול ההליך אף התברר, כי </w:t>
      </w:r>
      <w:r>
        <w:rPr>
          <w:rFonts w:ascii="David" w:hAnsi="David"/>
          <w:b/>
          <w:bCs/>
          <w:color w:val="000000"/>
          <w:rtl/>
        </w:rPr>
        <w:t xml:space="preserve">בין התובע לבין אחיו שנויה מחלוקת אשר לשאלת תוקפם של הסכמי חלוקת העיזבון והתנאים לאכיפתם. </w:t>
      </w:r>
    </w:p>
    <w:p w:rsidR="00DB218F" w:rsidRDefault="0036596F" w:rsidP="0036596F">
      <w:pPr>
        <w:pStyle w:val="1"/>
        <w:tabs>
          <w:tab w:val="left" w:pos="0"/>
        </w:tabs>
        <w:spacing w:after="120" w:line="360" w:lineRule="auto"/>
        <w:ind w:left="0" w:firstLine="709"/>
        <w:contextualSpacing w:val="0"/>
        <w:jc w:val="both"/>
        <w:rPr>
          <w:rFonts w:ascii="David" w:hAnsi="David"/>
          <w:color w:val="000000"/>
        </w:rPr>
      </w:pPr>
      <w:r>
        <w:rPr>
          <w:rFonts w:ascii="David" w:hAnsi="David" w:hint="cs"/>
          <w:color w:val="000000"/>
          <w:rtl/>
        </w:rPr>
        <w:t>פ'</w:t>
      </w:r>
      <w:r w:rsidR="00DB218F">
        <w:rPr>
          <w:rFonts w:ascii="David" w:hAnsi="David"/>
          <w:color w:val="000000"/>
          <w:rtl/>
        </w:rPr>
        <w:t xml:space="preserve"> העיד בחקירתו, כי מאז נחתמו הסכמי חלוקת עיזבון עבר זמן רב, חלו שינויים ותנאים מסוימים בהם כלל לא התקיימו (פרוטוקול הדיון מיום 18.2.2024, עמ' 116, שו' 16-9):</w:t>
      </w:r>
    </w:p>
    <w:p w:rsidR="0036596F" w:rsidRDefault="0036596F" w:rsidP="0036596F">
      <w:pPr>
        <w:pStyle w:val="1"/>
        <w:tabs>
          <w:tab w:val="left" w:pos="0"/>
        </w:tabs>
        <w:spacing w:after="240" w:line="360" w:lineRule="auto"/>
        <w:ind w:left="0" w:firstLine="709"/>
        <w:contextualSpacing w:val="0"/>
        <w:jc w:val="both"/>
        <w:rPr>
          <w:rFonts w:ascii="David" w:hAnsi="David"/>
          <w:color w:val="000000"/>
          <w:rtl/>
        </w:rPr>
      </w:pPr>
      <w:r w:rsidRPr="0036596F">
        <w:rPr>
          <w:rFonts w:ascii="David" w:hAnsi="David"/>
          <w:color w:val="000000"/>
          <w:rtl/>
        </w:rPr>
        <w:drawing>
          <wp:inline distT="0" distB="0" distL="0" distR="0" wp14:anchorId="00F1A14C" wp14:editId="77FA8580">
            <wp:extent cx="4549965" cy="1492250"/>
            <wp:effectExtent l="0" t="0" r="3175" b="0"/>
            <wp:docPr id="43" name="תמונה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30286" cy="1518593"/>
                    </a:xfrm>
                    <a:prstGeom prst="rect">
                      <a:avLst/>
                    </a:prstGeom>
                  </pic:spPr>
                </pic:pic>
              </a:graphicData>
            </a:graphic>
          </wp:inline>
        </w:drawing>
      </w:r>
    </w:p>
    <w:p w:rsidR="00DB218F" w:rsidRDefault="00DB218F" w:rsidP="0036596F">
      <w:pPr>
        <w:pStyle w:val="1"/>
        <w:tabs>
          <w:tab w:val="left" w:pos="0"/>
        </w:tabs>
        <w:spacing w:after="240" w:line="360" w:lineRule="auto"/>
        <w:ind w:left="0" w:firstLine="709"/>
        <w:contextualSpacing w:val="0"/>
        <w:jc w:val="both"/>
        <w:rPr>
          <w:rFonts w:ascii="David" w:hAnsi="David"/>
          <w:color w:val="000000"/>
        </w:rPr>
      </w:pPr>
      <w:r>
        <w:rPr>
          <w:rFonts w:ascii="David" w:hAnsi="David"/>
          <w:color w:val="000000"/>
          <w:rtl/>
        </w:rPr>
        <w:t xml:space="preserve">בחקירתו של </w:t>
      </w:r>
      <w:r w:rsidR="0036596F">
        <w:rPr>
          <w:rFonts w:ascii="David" w:hAnsi="David" w:hint="cs"/>
          <w:color w:val="000000"/>
          <w:rtl/>
        </w:rPr>
        <w:t>פ'</w:t>
      </w:r>
      <w:r>
        <w:rPr>
          <w:rFonts w:ascii="David" w:hAnsi="David"/>
          <w:color w:val="000000"/>
          <w:rtl/>
        </w:rPr>
        <w:t xml:space="preserve"> אף התברר, כי </w:t>
      </w:r>
      <w:r>
        <w:rPr>
          <w:rFonts w:ascii="David" w:hAnsi="David"/>
          <w:b/>
          <w:bCs/>
          <w:color w:val="000000"/>
          <w:rtl/>
        </w:rPr>
        <w:t>נערכו הסכמים נוספים</w:t>
      </w:r>
      <w:r>
        <w:rPr>
          <w:rFonts w:ascii="David" w:hAnsi="David"/>
          <w:color w:val="000000"/>
          <w:rtl/>
        </w:rPr>
        <w:t xml:space="preserve"> בעניין הזכויות</w:t>
      </w:r>
      <w:r w:rsidR="0036596F">
        <w:rPr>
          <w:rFonts w:ascii="David" w:hAnsi="David"/>
          <w:color w:val="000000"/>
          <w:rtl/>
        </w:rPr>
        <w:t xml:space="preserve"> בדירה ביום  17.5.20217 בין </w:t>
      </w:r>
      <w:r w:rsidR="0036596F">
        <w:rPr>
          <w:rFonts w:ascii="David" w:hAnsi="David" w:hint="cs"/>
          <w:color w:val="000000"/>
          <w:rtl/>
        </w:rPr>
        <w:t>פ'</w:t>
      </w:r>
      <w:r>
        <w:rPr>
          <w:rFonts w:ascii="David" w:hAnsi="David"/>
          <w:color w:val="000000"/>
          <w:rtl/>
        </w:rPr>
        <w:t xml:space="preserve"> לבין הנתבע. הנה כי כן, המדובר במועד המאוחר להסכמי חלוקת העזבון (פרוטוקול הדיון מיום 18.2.2024, עמ' 69, שו'  35-23 והחלטה בעניין הגשת הסכמים נוספים ככל שנערכו באותו היום – עמ' 118, שו' 9-4). </w:t>
      </w:r>
    </w:p>
    <w:p w:rsidR="00DB218F" w:rsidRDefault="00DB218F" w:rsidP="0036596F">
      <w:pPr>
        <w:pStyle w:val="1"/>
        <w:tabs>
          <w:tab w:val="left" w:pos="0"/>
        </w:tabs>
        <w:spacing w:after="240" w:line="360" w:lineRule="auto"/>
        <w:ind w:left="0" w:firstLine="709"/>
        <w:contextualSpacing w:val="0"/>
        <w:jc w:val="both"/>
        <w:rPr>
          <w:rFonts w:ascii="David" w:hAnsi="David"/>
          <w:color w:val="000000"/>
        </w:rPr>
      </w:pPr>
      <w:r>
        <w:rPr>
          <w:rFonts w:ascii="David" w:hAnsi="David"/>
          <w:color w:val="000000"/>
          <w:rtl/>
        </w:rPr>
        <w:lastRenderedPageBreak/>
        <w:t>התובע העיד, כי הוא אישר ל</w:t>
      </w:r>
      <w:r w:rsidR="0036596F">
        <w:rPr>
          <w:rFonts w:ascii="David" w:hAnsi="David" w:hint="cs"/>
          <w:color w:val="000000"/>
          <w:rtl/>
        </w:rPr>
        <w:t>-פ'</w:t>
      </w:r>
      <w:r>
        <w:rPr>
          <w:rFonts w:ascii="David" w:hAnsi="David"/>
          <w:color w:val="000000"/>
          <w:rtl/>
        </w:rPr>
        <w:t xml:space="preserve"> לנסות ולהגיע לפשרה בעניין הזכויות בדירה ועניינים נוספים שהיו בין האחים, מתוך מטרה לנסות ולמנוע פניה נוספת למשטרה בעניין זיוף מסמכים. כך נערך באמצעות עו"ד כ</w:t>
      </w:r>
      <w:r w:rsidR="0036596F">
        <w:rPr>
          <w:rFonts w:ascii="David" w:hAnsi="David" w:hint="cs"/>
          <w:color w:val="000000"/>
          <w:rtl/>
        </w:rPr>
        <w:t>'</w:t>
      </w:r>
      <w:r>
        <w:rPr>
          <w:rFonts w:ascii="David" w:hAnsi="David"/>
          <w:color w:val="000000"/>
          <w:rtl/>
        </w:rPr>
        <w:t xml:space="preserve"> אותו הסכם מיום 17.5.2017 – שכונה בכותרתו ועל ידי הנתבע בחקירתו "</w:t>
      </w:r>
      <w:r>
        <w:rPr>
          <w:rFonts w:ascii="David" w:hAnsi="David"/>
          <w:b/>
          <w:bCs/>
          <w:color w:val="000000"/>
          <w:rtl/>
        </w:rPr>
        <w:t>הסכם עקרונות</w:t>
      </w:r>
      <w:r>
        <w:rPr>
          <w:rFonts w:ascii="David" w:hAnsi="David"/>
          <w:color w:val="000000"/>
          <w:rtl/>
        </w:rPr>
        <w:t xml:space="preserve">" (סומן באות ב' בדיון מיום 18.2.2024). בסופו של דבר לא הסכים התובע עם ההסכמות אליהם הגיעו </w:t>
      </w:r>
      <w:r w:rsidR="0036596F">
        <w:rPr>
          <w:rFonts w:ascii="David" w:hAnsi="David" w:hint="cs"/>
          <w:color w:val="000000"/>
          <w:rtl/>
        </w:rPr>
        <w:t>פ'</w:t>
      </w:r>
      <w:r>
        <w:rPr>
          <w:rFonts w:ascii="David" w:hAnsi="David"/>
          <w:color w:val="000000"/>
          <w:rtl/>
        </w:rPr>
        <w:t xml:space="preserve"> והנתבע (פרוטוקול הדיון מיום 18.2.2024, עמ' 145, שו' 31-20).</w:t>
      </w:r>
    </w:p>
    <w:p w:rsidR="00DB218F" w:rsidRDefault="00DB218F" w:rsidP="0036596F">
      <w:pPr>
        <w:pStyle w:val="1"/>
        <w:tabs>
          <w:tab w:val="left" w:pos="0"/>
        </w:tabs>
        <w:spacing w:after="240" w:line="360" w:lineRule="auto"/>
        <w:ind w:left="0" w:firstLine="708"/>
        <w:contextualSpacing w:val="0"/>
        <w:jc w:val="both"/>
        <w:rPr>
          <w:rFonts w:ascii="David" w:hAnsi="David"/>
          <w:color w:val="000000"/>
        </w:rPr>
      </w:pPr>
      <w:r>
        <w:rPr>
          <w:rFonts w:ascii="David" w:hAnsi="David"/>
          <w:color w:val="000000"/>
          <w:rtl/>
        </w:rPr>
        <w:t xml:space="preserve">כשנשאל </w:t>
      </w:r>
      <w:r w:rsidR="0036596F">
        <w:rPr>
          <w:rFonts w:ascii="David" w:hAnsi="David"/>
          <w:color w:val="000000"/>
          <w:rtl/>
        </w:rPr>
        <w:t>ד</w:t>
      </w:r>
      <w:r w:rsidR="0036596F">
        <w:rPr>
          <w:rFonts w:ascii="David" w:hAnsi="David" w:hint="cs"/>
          <w:color w:val="000000"/>
          <w:rtl/>
        </w:rPr>
        <w:t>'</w:t>
      </w:r>
      <w:r>
        <w:rPr>
          <w:rFonts w:ascii="David" w:hAnsi="David"/>
          <w:color w:val="000000"/>
          <w:rtl/>
        </w:rPr>
        <w:t xml:space="preserve"> בחקירתו על הסכמי חלוקת העזבון, העיד כי הוא לא קיבל את התמורה שאמור היה לקבל בגין הויתור שעשה על חלקו בזכויות בדירה לטובת </w:t>
      </w:r>
      <w:r w:rsidR="0036596F">
        <w:rPr>
          <w:rFonts w:ascii="David" w:hAnsi="David" w:hint="cs"/>
          <w:color w:val="000000"/>
          <w:rtl/>
        </w:rPr>
        <w:t>פ'</w:t>
      </w:r>
      <w:r>
        <w:rPr>
          <w:rFonts w:ascii="David" w:hAnsi="David"/>
          <w:color w:val="000000"/>
          <w:rtl/>
        </w:rPr>
        <w:t xml:space="preserve"> (פרוטוקול הדיון מיום 18.2.2024, עמ' 160, שו' 31-8): </w:t>
      </w:r>
    </w:p>
    <w:p w:rsidR="00DB218F" w:rsidRDefault="0036596F" w:rsidP="0036596F">
      <w:pPr>
        <w:pStyle w:val="1"/>
        <w:tabs>
          <w:tab w:val="left" w:pos="0"/>
        </w:tabs>
        <w:spacing w:after="240" w:line="360" w:lineRule="auto"/>
        <w:ind w:left="0" w:firstLine="567"/>
        <w:contextualSpacing w:val="0"/>
        <w:jc w:val="both"/>
        <w:rPr>
          <w:rFonts w:ascii="David" w:hAnsi="David"/>
          <w:color w:val="000000"/>
          <w:rtl/>
        </w:rPr>
      </w:pPr>
      <w:r w:rsidRPr="0036596F">
        <w:rPr>
          <w:rFonts w:ascii="David" w:hAnsi="David"/>
          <w:color w:val="000000"/>
          <w:rtl/>
        </w:rPr>
        <w:drawing>
          <wp:inline distT="0" distB="0" distL="0" distR="0" wp14:anchorId="48B1D97D" wp14:editId="497F1E5C">
            <wp:extent cx="4924295" cy="3942272"/>
            <wp:effectExtent l="0" t="0" r="0" b="1270"/>
            <wp:docPr id="44" name="תמונה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69276" cy="3978282"/>
                    </a:xfrm>
                    <a:prstGeom prst="rect">
                      <a:avLst/>
                    </a:prstGeom>
                  </pic:spPr>
                </pic:pic>
              </a:graphicData>
            </a:graphic>
          </wp:inline>
        </w:drawing>
      </w:r>
    </w:p>
    <w:p w:rsidR="00DB218F" w:rsidRDefault="00DB218F" w:rsidP="0036596F">
      <w:pPr>
        <w:pStyle w:val="1"/>
        <w:tabs>
          <w:tab w:val="left" w:pos="0"/>
        </w:tabs>
        <w:spacing w:after="120" w:line="360" w:lineRule="auto"/>
        <w:ind w:left="0" w:firstLine="709"/>
        <w:jc w:val="both"/>
        <w:rPr>
          <w:rFonts w:ascii="David" w:hAnsi="David"/>
          <w:color w:val="000000"/>
        </w:rPr>
      </w:pPr>
      <w:r>
        <w:rPr>
          <w:rFonts w:ascii="David" w:hAnsi="David"/>
          <w:color w:val="000000"/>
          <w:rtl/>
        </w:rPr>
        <w:t>בהמשך כשנשאל ד</w:t>
      </w:r>
      <w:r w:rsidR="0036596F">
        <w:rPr>
          <w:rFonts w:ascii="David" w:hAnsi="David" w:hint="cs"/>
          <w:color w:val="000000"/>
          <w:rtl/>
        </w:rPr>
        <w:t>'</w:t>
      </w:r>
      <w:r>
        <w:rPr>
          <w:rFonts w:ascii="David" w:hAnsi="David"/>
          <w:color w:val="000000"/>
          <w:rtl/>
        </w:rPr>
        <w:t xml:space="preserve"> על הסכם חלוקת העזבון – הסביר שההסכם נחתם על ידו כשהיה בתקופה אישית קשה בחייו, ואילו היה "מפוקס" באותה תקופה, לא היה חותם על אותו הסכם (פרוטוקול הדיון מיום 18.2.2024, עמ' 167, שו' 13-12). עוד עמד על כך שהסכם המתנה הוא ההסכם האמיתי ואין בלתו, ואילו כל יתר ההסכמים שנחתמו מאוחר יותר הם פיקציה (פרוטוקול הדיון מיום 18.2.2024, עמ' 167, שו' 24-19).</w:t>
      </w:r>
    </w:p>
    <w:p w:rsidR="00DB218F" w:rsidRDefault="00DB218F" w:rsidP="0036596F">
      <w:pPr>
        <w:pStyle w:val="a9"/>
        <w:spacing w:after="120" w:line="360" w:lineRule="auto"/>
        <w:ind w:left="0" w:firstLine="709"/>
        <w:jc w:val="both"/>
        <w:rPr>
          <w:rFonts w:ascii="Arial" w:hAnsi="Arial"/>
          <w:noProof w:val="0"/>
        </w:rPr>
      </w:pPr>
      <w:r>
        <w:rPr>
          <w:rFonts w:ascii="Arial" w:hAnsi="Arial"/>
          <w:noProof w:val="0"/>
          <w:rtl/>
        </w:rPr>
        <w:t>הנתבע העיד ש</w:t>
      </w:r>
      <w:r w:rsidR="0036596F">
        <w:rPr>
          <w:rFonts w:ascii="Arial" w:hAnsi="Arial" w:hint="cs"/>
          <w:noProof w:val="0"/>
          <w:rtl/>
        </w:rPr>
        <w:t>-</w:t>
      </w:r>
      <w:r>
        <w:rPr>
          <w:rFonts w:ascii="Arial" w:hAnsi="Arial"/>
          <w:noProof w:val="0"/>
          <w:rtl/>
        </w:rPr>
        <w:t>ד</w:t>
      </w:r>
      <w:r w:rsidR="0036596F">
        <w:rPr>
          <w:rFonts w:ascii="Arial" w:hAnsi="Arial" w:hint="cs"/>
          <w:noProof w:val="0"/>
          <w:rtl/>
        </w:rPr>
        <w:t>'</w:t>
      </w:r>
      <w:r>
        <w:rPr>
          <w:rFonts w:ascii="Arial" w:hAnsi="Arial"/>
          <w:noProof w:val="0"/>
          <w:rtl/>
        </w:rPr>
        <w:t xml:space="preserve"> לא שיתף אותו על אודות הסכם המכר או הסכמי חלוקת העיזבון. על הסכמים אלה נודע לו בעקבות הגשת התביעה (פרוטוקול הדיון מיום 18.2.2024, עמ' 207, שו' 31-24).</w:t>
      </w:r>
    </w:p>
    <w:p w:rsidR="00DB218F" w:rsidRDefault="00DB218F" w:rsidP="0036596F">
      <w:pPr>
        <w:pStyle w:val="1"/>
        <w:tabs>
          <w:tab w:val="left" w:pos="0"/>
        </w:tabs>
        <w:spacing w:after="240" w:line="360" w:lineRule="auto"/>
        <w:ind w:left="0" w:firstLine="709"/>
        <w:contextualSpacing w:val="0"/>
        <w:jc w:val="both"/>
        <w:rPr>
          <w:rFonts w:ascii="David" w:hAnsi="David"/>
          <w:b/>
          <w:bCs/>
          <w:color w:val="000000"/>
        </w:rPr>
      </w:pPr>
      <w:r>
        <w:rPr>
          <w:rFonts w:ascii="David" w:hAnsi="David"/>
          <w:b/>
          <w:bCs/>
          <w:color w:val="000000"/>
          <w:rtl/>
        </w:rPr>
        <w:lastRenderedPageBreak/>
        <w:t xml:space="preserve">הנה כי כן, קיימת מחלוקת בין הצדדים אשר להסכמי חלוקת העיזבון הן בנוגע לתנאים לקיומם הן ביחס לתוקפם. </w:t>
      </w:r>
    </w:p>
    <w:p w:rsidR="00DB218F" w:rsidRDefault="00DB218F" w:rsidP="0036596F">
      <w:pPr>
        <w:pStyle w:val="1"/>
        <w:numPr>
          <w:ilvl w:val="0"/>
          <w:numId w:val="4"/>
        </w:numPr>
        <w:tabs>
          <w:tab w:val="left" w:pos="0"/>
        </w:tabs>
        <w:spacing w:after="240" w:line="360" w:lineRule="auto"/>
        <w:ind w:left="0" w:firstLine="0"/>
        <w:jc w:val="both"/>
        <w:rPr>
          <w:rFonts w:ascii="David" w:hAnsi="David"/>
          <w:color w:val="000000"/>
        </w:rPr>
      </w:pPr>
      <w:r>
        <w:rPr>
          <w:rFonts w:ascii="David" w:hAnsi="David"/>
          <w:color w:val="000000"/>
          <w:rtl/>
        </w:rPr>
        <w:t xml:space="preserve">אם כך, ככל שהיה מעוניין התובע בסעד הצהרתי הנסמך על הסכמי חלוקת העזבון, היה עליו לצרף כנתבעים הן את </w:t>
      </w:r>
      <w:r w:rsidR="0036596F">
        <w:rPr>
          <w:rFonts w:ascii="David" w:hAnsi="David" w:hint="cs"/>
          <w:color w:val="000000"/>
          <w:rtl/>
        </w:rPr>
        <w:t>פ'</w:t>
      </w:r>
      <w:r>
        <w:rPr>
          <w:rFonts w:ascii="David" w:hAnsi="David"/>
          <w:color w:val="000000"/>
          <w:rtl/>
        </w:rPr>
        <w:t xml:space="preserve"> הן את ד</w:t>
      </w:r>
      <w:r w:rsidR="0036596F">
        <w:rPr>
          <w:rFonts w:ascii="David" w:hAnsi="David" w:hint="cs"/>
          <w:color w:val="000000"/>
          <w:rtl/>
        </w:rPr>
        <w:t>'</w:t>
      </w:r>
      <w:r>
        <w:rPr>
          <w:rFonts w:ascii="David" w:hAnsi="David"/>
          <w:color w:val="000000"/>
          <w:rtl/>
        </w:rPr>
        <w:t xml:space="preserve"> על מנת שניתן יהיה להכריע בשאלת תוקפם של אותם הסכמים. התובע, </w:t>
      </w:r>
      <w:r w:rsidR="0036596F">
        <w:rPr>
          <w:rFonts w:ascii="David" w:hAnsi="David" w:hint="cs"/>
          <w:color w:val="000000"/>
          <w:rtl/>
        </w:rPr>
        <w:t>פ'</w:t>
      </w:r>
      <w:r>
        <w:rPr>
          <w:rFonts w:ascii="David" w:hAnsi="David"/>
          <w:color w:val="000000"/>
          <w:rtl/>
        </w:rPr>
        <w:t xml:space="preserve"> וד</w:t>
      </w:r>
      <w:r w:rsidR="0036596F">
        <w:rPr>
          <w:rFonts w:ascii="David" w:hAnsi="David" w:hint="cs"/>
          <w:color w:val="000000"/>
          <w:rtl/>
        </w:rPr>
        <w:t>'</w:t>
      </w:r>
      <w:r>
        <w:rPr>
          <w:rFonts w:ascii="David" w:hAnsi="David"/>
          <w:color w:val="000000"/>
          <w:rtl/>
        </w:rPr>
        <w:t xml:space="preserve"> הם הצדדים הרלוונטים לגבי הסכמי חלוקת העיזבון והנתבע אינו קשור בהם. כאמור, הנתבע אף עתר לצירופו של </w:t>
      </w:r>
      <w:r w:rsidR="0036596F">
        <w:rPr>
          <w:rFonts w:ascii="David" w:hAnsi="David" w:hint="cs"/>
          <w:color w:val="000000"/>
          <w:rtl/>
        </w:rPr>
        <w:t>פ'</w:t>
      </w:r>
      <w:r>
        <w:rPr>
          <w:rFonts w:ascii="David" w:hAnsi="David"/>
          <w:color w:val="000000"/>
          <w:rtl/>
        </w:rPr>
        <w:t xml:space="preserve"> כנתבע והתובע התנגד לבקשה (ראו תגובתו של התובע מיום 22.3.2018). </w:t>
      </w:r>
    </w:p>
    <w:p w:rsidR="00DB218F" w:rsidRDefault="00DB218F" w:rsidP="0036596F">
      <w:pPr>
        <w:pStyle w:val="a9"/>
        <w:numPr>
          <w:ilvl w:val="0"/>
          <w:numId w:val="4"/>
        </w:numPr>
        <w:spacing w:after="120" w:line="360" w:lineRule="auto"/>
        <w:ind w:left="0" w:firstLine="0"/>
        <w:contextualSpacing w:val="0"/>
        <w:jc w:val="both"/>
        <w:rPr>
          <w:rFonts w:ascii="David" w:hAnsi="David"/>
          <w:noProof w:val="0"/>
        </w:rPr>
      </w:pPr>
      <w:r>
        <w:rPr>
          <w:rFonts w:ascii="David" w:hAnsi="David"/>
          <w:noProof w:val="0"/>
          <w:rtl/>
        </w:rPr>
        <w:t>ב</w:t>
      </w:r>
      <w:r>
        <w:rPr>
          <w:rFonts w:ascii="David" w:hAnsi="David"/>
          <w:b/>
          <w:bCs/>
          <w:noProof w:val="0"/>
          <w:rtl/>
        </w:rPr>
        <w:t>עניין קפיטולניק</w:t>
      </w:r>
      <w:r>
        <w:rPr>
          <w:rFonts w:ascii="David" w:hAnsi="David"/>
          <w:noProof w:val="0"/>
          <w:rtl/>
        </w:rPr>
        <w:t>, פסקה 15 נקבע כי פסק דין הצהרתי שניתן ללא צירופם של צדדים דרושים דינו בטלות, ולחילופין ביטול אותו חלק המתייחס לאותם צדדים דרושים:</w:t>
      </w:r>
    </w:p>
    <w:p w:rsidR="00DB218F" w:rsidRDefault="00DB218F" w:rsidP="00DB218F">
      <w:pPr>
        <w:pStyle w:val="a9"/>
        <w:spacing w:after="240"/>
        <w:ind w:left="992" w:right="1134"/>
        <w:jc w:val="both"/>
        <w:rPr>
          <w:rFonts w:ascii="David" w:hAnsi="David"/>
          <w:b/>
          <w:bCs/>
          <w:noProof w:val="0"/>
        </w:rPr>
      </w:pPr>
      <w:r>
        <w:rPr>
          <w:rFonts w:ascii="David" w:hAnsi="David"/>
          <w:b/>
          <w:bCs/>
          <w:noProof w:val="0"/>
          <w:rtl/>
        </w:rPr>
        <w:t xml:space="preserve"> "... דינו של פסק דין חפצי המשפיע על זכויותיו של בעל דין שנחוץ היה לצרפו להליך, מבלי שניתן לבעל דין יומו בבית המשפט, הוא בטלות (בר"ע 161/68 </w:t>
      </w:r>
      <w:r>
        <w:rPr>
          <w:rFonts w:ascii="David" w:hAnsi="David"/>
          <w:b/>
          <w:bCs/>
          <w:rtl/>
        </w:rPr>
        <w:t>חברה לבנין והנדסה אזרחית אליהו פבר בע"מ נ' מסעוד</w:t>
      </w:r>
      <w:r>
        <w:rPr>
          <w:rFonts w:ascii="David" w:hAnsi="David"/>
          <w:b/>
          <w:bCs/>
          <w:spacing w:val="10"/>
          <w:rtl/>
        </w:rPr>
        <w:t xml:space="preserve">, פ''ד כב(2) 844, 847-846 (1968); עניין </w:t>
      </w:r>
      <w:r>
        <w:rPr>
          <w:rFonts w:ascii="David" w:hAnsi="David"/>
          <w:b/>
          <w:bCs/>
          <w:rtl/>
        </w:rPr>
        <w:t>ועד הר הכרמל</w:t>
      </w:r>
      <w:r>
        <w:rPr>
          <w:rFonts w:ascii="David" w:hAnsi="David"/>
          <w:b/>
          <w:bCs/>
          <w:spacing w:val="10"/>
          <w:rtl/>
        </w:rPr>
        <w:t xml:space="preserve">, בעמוד 271; ע"א 411/81 </w:t>
      </w:r>
      <w:r>
        <w:rPr>
          <w:rFonts w:ascii="David" w:hAnsi="David"/>
          <w:b/>
          <w:bCs/>
          <w:rtl/>
        </w:rPr>
        <w:t>זידאן</w:t>
      </w:r>
      <w:r>
        <w:rPr>
          <w:rFonts w:ascii="David" w:hAnsi="David"/>
          <w:b/>
          <w:bCs/>
          <w:cs/>
        </w:rPr>
        <w:t>‎</w:t>
      </w:r>
      <w:r>
        <w:rPr>
          <w:rFonts w:ascii="David" w:hAnsi="David"/>
          <w:b/>
          <w:bCs/>
        </w:rPr>
        <w:t xml:space="preserve"> </w:t>
      </w:r>
      <w:r>
        <w:rPr>
          <w:rFonts w:ascii="David" w:hAnsi="David"/>
          <w:b/>
          <w:bCs/>
          <w:cs/>
        </w:rPr>
        <w:t>‎</w:t>
      </w:r>
      <w:r>
        <w:rPr>
          <w:rFonts w:ascii="David" w:hAnsi="David"/>
          <w:b/>
          <w:bCs/>
          <w:rtl/>
        </w:rPr>
        <w:t>נ' ע'דיר</w:t>
      </w:r>
      <w:r>
        <w:rPr>
          <w:rFonts w:ascii="David" w:hAnsi="David"/>
          <w:b/>
          <w:bCs/>
          <w:spacing w:val="10"/>
          <w:rtl/>
        </w:rPr>
        <w:t>, פ''ד לח(3) 449, 455 (1984)).</w:t>
      </w:r>
      <w:r>
        <w:rPr>
          <w:rFonts w:ascii="David" w:hAnsi="David"/>
          <w:b/>
          <w:bCs/>
          <w:noProof w:val="0"/>
          <w:rtl/>
        </w:rPr>
        <w:t xml:space="preserve"> למצער יש לקבוע כי אותו חלק בפסק הדין המתיימר לפגוע בזכויותיו וחובותיו של צד הכרחי להליך – הוא בטל </w:t>
      </w:r>
      <w:r>
        <w:rPr>
          <w:rFonts w:ascii="David" w:hAnsi="David"/>
          <w:b/>
          <w:bCs/>
          <w:spacing w:val="10"/>
          <w:rtl/>
        </w:rPr>
        <w:t xml:space="preserve">(ראו דיון אצל </w:t>
      </w:r>
      <w:r>
        <w:rPr>
          <w:rFonts w:ascii="David" w:hAnsi="David"/>
          <w:b/>
          <w:bCs/>
          <w:rtl/>
        </w:rPr>
        <w:t>זלצמן</w:t>
      </w:r>
      <w:r>
        <w:rPr>
          <w:rFonts w:ascii="David" w:hAnsi="David"/>
          <w:b/>
          <w:bCs/>
          <w:spacing w:val="10"/>
          <w:rtl/>
        </w:rPr>
        <w:t>, בעמודים 514-512</w:t>
      </w:r>
      <w:r>
        <w:rPr>
          <w:rFonts w:ascii="David" w:hAnsi="David"/>
          <w:b/>
          <w:bCs/>
          <w:noProof w:val="0"/>
          <w:rtl/>
        </w:rPr>
        <w:t>)".</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David" w:hAnsi="David"/>
          <w:color w:val="000000"/>
          <w:rtl/>
        </w:rPr>
        <w:t xml:space="preserve">משבחר התובע לתבוע את הנתבע בלבד, אין אפשרות ליתן את מלוא הסעד שהתבקש, הטומן בחובו קביעה ביחס לתוקפם של הסכמי חלוקת העיזבון – כאשר היה נדרש לתבוע גם את הצדדים להם – דבר שכאמור לא נעשה. והרי ככל והיה ניתן הסעד המבוקש, ממילא לא היה בו כדי לחייב את האחים הנוספים הרלוונטים לבירור התובענה, שלא צורפו כאמור כנתבעים לתובענה. </w:t>
      </w:r>
    </w:p>
    <w:p w:rsidR="00DB218F" w:rsidRDefault="00DB218F" w:rsidP="00DB218F">
      <w:pPr>
        <w:pStyle w:val="1"/>
        <w:numPr>
          <w:ilvl w:val="0"/>
          <w:numId w:val="4"/>
        </w:numPr>
        <w:tabs>
          <w:tab w:val="left" w:pos="0"/>
        </w:tabs>
        <w:spacing w:after="240" w:line="360" w:lineRule="auto"/>
        <w:ind w:left="0" w:firstLine="0"/>
        <w:jc w:val="both"/>
        <w:rPr>
          <w:rFonts w:ascii="David" w:hAnsi="David"/>
          <w:color w:val="000000"/>
        </w:rPr>
      </w:pPr>
      <w:r>
        <w:rPr>
          <w:rFonts w:ascii="Arial" w:hAnsi="Arial"/>
          <w:noProof w:val="0"/>
          <w:rtl/>
        </w:rPr>
        <w:t xml:space="preserve">לנוכח האמור מתעוררת שאלה – האם ניתן ליתן סעד הצהרתי לפיו הסכם המתנה בטל, שעה שזה לא התבקש במפורש בכתב התביעה. ברי כי הצהרה כי לתובע 3/4 זכויות בדירה טומנת בחובה גם את הקביעה כי הסכם המתנה מבוטל. </w:t>
      </w:r>
      <w:r>
        <w:rPr>
          <w:rFonts w:ascii="David" w:hAnsi="David"/>
          <w:rtl/>
        </w:rPr>
        <w:t xml:space="preserve">אשר למתן סעד שלא התבקש, ידועה ההלכה, שלפיה ככלל אין להעניק סעד שלא התבקש בכתב התביעה אלא בנסיבות מסוימות ראו ב-ע"א 9137/07 </w:t>
      </w:r>
      <w:r>
        <w:rPr>
          <w:rFonts w:ascii="David" w:hAnsi="David"/>
          <w:b/>
          <w:bCs/>
          <w:rtl/>
        </w:rPr>
        <w:t>אוסיפובה נ' קלישטיין</w:t>
      </w:r>
      <w:r>
        <w:rPr>
          <w:rFonts w:ascii="David" w:hAnsi="David"/>
          <w:rtl/>
        </w:rPr>
        <w:t xml:space="preserve"> (30.12.2008):</w:t>
      </w:r>
    </w:p>
    <w:p w:rsidR="00DB218F" w:rsidRDefault="00DB218F" w:rsidP="0036596F">
      <w:pPr>
        <w:pStyle w:val="a9"/>
        <w:spacing w:after="240"/>
        <w:ind w:left="1134" w:right="1134"/>
        <w:contextualSpacing w:val="0"/>
        <w:jc w:val="both"/>
        <w:rPr>
          <w:rFonts w:ascii="Arial" w:hAnsi="Arial"/>
          <w:b/>
          <w:bCs/>
          <w:noProof w:val="0"/>
        </w:rPr>
      </w:pPr>
      <w:r>
        <w:rPr>
          <w:rFonts w:ascii="David" w:hAnsi="David"/>
          <w:b/>
          <w:bCs/>
          <w:rtl/>
        </w:rPr>
        <w:t>"ההלכה הנוהגת עימנו היא כי, ככלל, לא יעניק בית המשפט לתובע סעד שלא נתבקש בכתב התביעה. עוד נפסק כי במקרים שבהם עולה מן הנסיבות שנתבררו במשפט הצורך להעניק לתובע סעד שלא נתבקש, הדרך להתגבר על העדר עתירה לאותו הסעד היא באמצעות בקשה לתיקון התובענה... בנסיבות מיוחדות רשאי אמנם בית-המשפט לפסוק סעד שלא התבקש מפורשות לתיתו גם בלא שהוגשה בקשה לתיקון כתבי הטענות, אך זאת במקרים חריגים בלבד ובהתקיים מספר תנאים ובהם התנאי כי מדובר בסעד הנובע ישירות מן הסעד המקורי שהתבקש וכן כי כל העובדות הדרושות להענקת אותו הסעד נתבררו בפני בית-המשפט והצדק או הצורך ללבן את השאלות המהותיות שבמחלוקת, מחייבים את מתן הסעד אף שלא נתבקש</w:t>
      </w:r>
      <w:r>
        <w:rPr>
          <w:rFonts w:ascii="Arial" w:hAnsi="Arial"/>
          <w:b/>
          <w:bCs/>
          <w:noProof w:val="0"/>
          <w:rtl/>
        </w:rPr>
        <w:t>".</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בענייננו הסעד ההצהרתי, לפיו הסכם המתנה בטל נובע כאמור ישירות מן הסעד המקורי שהתבקש, והעובדות הדרושות להענקתו התבררו לפניי.</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lastRenderedPageBreak/>
        <w:t xml:space="preserve">עיקר הדיון נסוב סביב שאלת תוקפו של הסכם המתנה, וכיצד הצדדים ויתר בני המשפחה התייחסו אליו בעסקאות ובהסכמים מאוחרים יותר.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בנסיבות מיוחדות אלה ומטעמי יעילות שיפוטית, מצאתי להתייחס לחלקה של התובענה המתייחס לשאלת תוקפו של הסכם המתנה, ומבלי להידרש להכרעה בשאלת תוקפם של הסכמי חלוקת העיזבון.</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David" w:hAnsi="David"/>
          <w:color w:val="000000"/>
          <w:rtl/>
        </w:rPr>
        <w:t>לנוכח האמור לעיל, אעבור לבחינת הטענות ביחס לתוקפו של הסכם המתנה.</w:t>
      </w:r>
    </w:p>
    <w:p w:rsidR="00DB218F" w:rsidRDefault="00DB218F" w:rsidP="0036596F">
      <w:pPr>
        <w:pStyle w:val="1"/>
        <w:tabs>
          <w:tab w:val="left" w:pos="0"/>
        </w:tabs>
        <w:spacing w:after="120" w:line="360" w:lineRule="auto"/>
        <w:ind w:left="0"/>
        <w:contextualSpacing w:val="0"/>
        <w:jc w:val="both"/>
        <w:rPr>
          <w:rFonts w:ascii="David" w:hAnsi="David"/>
          <w:b/>
          <w:bCs/>
          <w:color w:val="000000"/>
          <w:sz w:val="28"/>
          <w:szCs w:val="28"/>
          <w:u w:val="single"/>
        </w:rPr>
      </w:pPr>
      <w:r>
        <w:rPr>
          <w:rFonts w:ascii="David" w:hAnsi="David"/>
          <w:b/>
          <w:bCs/>
          <w:color w:val="000000"/>
          <w:sz w:val="28"/>
          <w:szCs w:val="28"/>
          <w:u w:val="single"/>
          <w:rtl/>
        </w:rPr>
        <w:t>הסכם המתנה</w:t>
      </w:r>
    </w:p>
    <w:p w:rsidR="00DB218F" w:rsidRDefault="00DB218F" w:rsidP="00DB218F">
      <w:pPr>
        <w:pStyle w:val="1"/>
        <w:numPr>
          <w:ilvl w:val="0"/>
          <w:numId w:val="4"/>
        </w:numPr>
        <w:tabs>
          <w:tab w:val="left" w:pos="0"/>
        </w:tabs>
        <w:spacing w:after="120" w:line="360" w:lineRule="auto"/>
        <w:ind w:left="708" w:hanging="708"/>
        <w:jc w:val="both"/>
        <w:rPr>
          <w:rFonts w:ascii="David" w:hAnsi="David"/>
          <w:color w:val="000000"/>
        </w:rPr>
      </w:pPr>
      <w:r>
        <w:rPr>
          <w:b/>
          <w:bCs/>
          <w:noProof w:val="0"/>
          <w:rtl/>
        </w:rPr>
        <w:t>המסגרת הנורמטיבית</w:t>
      </w:r>
      <w:r>
        <w:rPr>
          <w:noProof w:val="0"/>
          <w:rtl/>
        </w:rPr>
        <w:t xml:space="preserve"> – </w:t>
      </w:r>
      <w:r>
        <w:rPr>
          <w:rFonts w:ascii="David" w:hAnsi="David"/>
          <w:color w:val="000000"/>
          <w:rtl/>
        </w:rPr>
        <w:t xml:space="preserve"> </w:t>
      </w:r>
      <w:r>
        <w:rPr>
          <w:rFonts w:ascii="David" w:hAnsi="David"/>
          <w:noProof w:val="0"/>
          <w:rtl/>
        </w:rPr>
        <w:t xml:space="preserve">סעיף 2 לחוק המתנה קובע כי: </w:t>
      </w:r>
    </w:p>
    <w:p w:rsidR="00DB218F" w:rsidRDefault="00DB218F" w:rsidP="0036596F">
      <w:pPr>
        <w:pStyle w:val="1"/>
        <w:tabs>
          <w:tab w:val="left" w:pos="708"/>
        </w:tabs>
        <w:spacing w:after="240"/>
        <w:ind w:left="1134" w:right="1134"/>
        <w:contextualSpacing w:val="0"/>
        <w:jc w:val="both"/>
        <w:rPr>
          <w:rFonts w:ascii="David" w:hAnsi="David"/>
          <w:noProof w:val="0"/>
        </w:rPr>
      </w:pPr>
      <w:r>
        <w:rPr>
          <w:rFonts w:ascii="David" w:hAnsi="David"/>
          <w:b/>
          <w:bCs/>
          <w:noProof w:val="0"/>
          <w:rtl/>
        </w:rPr>
        <w:t>"מתנה נגמרת בהקניית דבר-המתנה על-ידי הנותן למקבל תוך הסכמה ביניהם שהדבר ניתן במתנה".</w:t>
      </w:r>
      <w:r>
        <w:rPr>
          <w:rFonts w:ascii="David" w:hAnsi="David"/>
          <w:noProof w:val="0"/>
          <w:color w:val="000000"/>
          <w:rtl/>
        </w:rPr>
        <w:t xml:space="preserve">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tl/>
        </w:rPr>
      </w:pPr>
      <w:r>
        <w:rPr>
          <w:noProof w:val="0"/>
          <w:rtl/>
        </w:rPr>
        <w:t>על הסכם מתנה חלות שתי מערכות דינים: האחת, הקבועה בחוק המתנה, התשכ"ח-1968 (להלן: "</w:t>
      </w:r>
      <w:r>
        <w:rPr>
          <w:b/>
          <w:bCs/>
          <w:noProof w:val="0"/>
          <w:rtl/>
        </w:rPr>
        <w:t>חוק המתנה</w:t>
      </w:r>
      <w:r>
        <w:rPr>
          <w:noProof w:val="0"/>
          <w:rtl/>
        </w:rPr>
        <w:t xml:space="preserve">"). השנייה, דיני החוזים הכלליים, החלים על חוזים בנושאים שלא הוסדרו בחוק המתנה, </w:t>
      </w:r>
      <w:r>
        <w:rPr>
          <w:noProof w:val="0"/>
          <w:rtl/>
          <w:lang w:eastAsia="he-IL"/>
        </w:rPr>
        <w:t>כגון: אופן קשירת חוזה, בטלותו והזכות לבטלו</w:t>
      </w:r>
      <w:r>
        <w:rPr>
          <w:noProof w:val="0"/>
          <w:rtl/>
        </w:rPr>
        <w:t xml:space="preserve"> (ע"א 173/72 </w:t>
      </w:r>
      <w:r>
        <w:rPr>
          <w:b/>
          <w:bCs/>
          <w:noProof w:val="0"/>
          <w:rtl/>
        </w:rPr>
        <w:t>גנאיים ואח' נ' גנאיים</w:t>
      </w:r>
      <w:r>
        <w:rPr>
          <w:noProof w:val="0"/>
          <w:rtl/>
        </w:rPr>
        <w:t>, כז(1) 414, 420 (1973); פרופ' מ' א' ראבילו "</w:t>
      </w:r>
      <w:r>
        <w:rPr>
          <w:b/>
          <w:bCs/>
          <w:noProof w:val="0"/>
          <w:rtl/>
        </w:rPr>
        <w:t>חוק המתנה, תשכ"ח-1986</w:t>
      </w:r>
      <w:r>
        <w:rPr>
          <w:noProof w:val="0"/>
          <w:rtl/>
        </w:rPr>
        <w:t>" (מהדורה שנייה), 30).</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David" w:hAnsi="David"/>
          <w:noProof w:val="0"/>
          <w:rtl/>
        </w:rPr>
        <w:t>בבסיס מוסד המתנה, המאופיין בהיעדר תמורה, עומדים בדרך כלל מניעים רגשיים המייצגים מערכת יחסים אישית, חברית, קרובה, שנבנתה כתוצאה מאינטראקציות מרובות ומורכבות עובר למתן המתנה, וציפיות לגבי המשכה של מערכת היחסים בעתיד. זהו "האפיון המתנתי" (ראו דור פסקא, רונן קריטנשטיין "שלב ההתחייבות במוסד המתנה:</w:t>
      </w:r>
      <w:r>
        <w:rPr>
          <w:rFonts w:ascii="David" w:hAnsi="David"/>
          <w:b/>
          <w:bCs/>
          <w:noProof w:val="0"/>
          <w:rtl/>
        </w:rPr>
        <w:t xml:space="preserve"> אובליגציה שאינה אובליגטורית" </w:t>
      </w:r>
      <w:r>
        <w:rPr>
          <w:rFonts w:ascii="David" w:hAnsi="David"/>
          <w:noProof w:val="0"/>
          <w:rtl/>
        </w:rPr>
        <w:t>משפט ועסקים כב 517 (2019)</w:t>
      </w:r>
      <w:r>
        <w:rPr>
          <w:rFonts w:ascii="David" w:hAnsi="David"/>
          <w:noProof w:val="0"/>
          <w:color w:val="000000"/>
          <w:rtl/>
        </w:rPr>
        <w:t>).</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David" w:hAnsi="David"/>
          <w:noProof w:val="0"/>
          <w:rtl/>
        </w:rPr>
        <w:t>לנוכח העובדה שחוק המתנה דורש את הסכמת שני הצדדים לעסקת המתנה, נובע כי המתנה היא סוג של חוזה.</w:t>
      </w:r>
      <w:r>
        <w:rPr>
          <w:noProof w:val="0"/>
          <w:rtl/>
        </w:rPr>
        <w:t xml:space="preserve"> חוזה המתנה הוא חוזה חד צדדי במובן זה שביצועו מוטל על צד אחד בלבד, והוא אינו יוצר חיובים הדדיים של המתקשרים.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David" w:hAnsi="David"/>
          <w:noProof w:val="0"/>
          <w:color w:val="000000"/>
          <w:rtl/>
        </w:rPr>
        <w:t xml:space="preserve">בענייננו, נערך הסכם מתנה בין המנוחה לבין הנתבע. על פי הסכם המתנה המנוחה העבירה את מלוא הזכויות שהיו לה בדירה לנתבע ללא תמורה.  </w:t>
      </w:r>
    </w:p>
    <w:p w:rsidR="00DB218F" w:rsidRDefault="00DB218F" w:rsidP="0036596F">
      <w:pPr>
        <w:numPr>
          <w:ilvl w:val="0"/>
          <w:numId w:val="4"/>
        </w:numPr>
        <w:tabs>
          <w:tab w:val="left" w:pos="0"/>
        </w:tabs>
        <w:spacing w:after="120" w:line="360" w:lineRule="auto"/>
        <w:ind w:left="0" w:firstLine="0"/>
        <w:jc w:val="both"/>
        <w:rPr>
          <w:rFonts w:ascii="Arial" w:hAnsi="Arial"/>
          <w:noProof w:val="0"/>
        </w:rPr>
      </w:pPr>
      <w:r>
        <w:rPr>
          <w:rFonts w:ascii="Arial" w:hAnsi="Arial"/>
          <w:noProof w:val="0"/>
          <w:rtl/>
        </w:rPr>
        <w:t xml:space="preserve">עיון בטענות התובע מעלה, כי לטענתו יש לבטל את הסכם המתנה בשל </w:t>
      </w:r>
      <w:r>
        <w:rPr>
          <w:rFonts w:ascii="Arial" w:hAnsi="Arial"/>
          <w:b/>
          <w:bCs/>
          <w:noProof w:val="0"/>
          <w:rtl/>
        </w:rPr>
        <w:t>שתי עילות עיקריות</w:t>
      </w:r>
      <w:r>
        <w:rPr>
          <w:rFonts w:ascii="Arial" w:hAnsi="Arial"/>
          <w:noProof w:val="0"/>
          <w:rtl/>
        </w:rPr>
        <w:t xml:space="preserve"> כפי שמצאו מקומן בפתחו של פסק הדין: </w:t>
      </w:r>
    </w:p>
    <w:p w:rsidR="00DB218F" w:rsidRDefault="00DB218F" w:rsidP="0036596F">
      <w:pPr>
        <w:pStyle w:val="1"/>
        <w:numPr>
          <w:ilvl w:val="0"/>
          <w:numId w:val="5"/>
        </w:numPr>
        <w:tabs>
          <w:tab w:val="left" w:pos="0"/>
          <w:tab w:val="left" w:pos="1134"/>
        </w:tabs>
        <w:spacing w:after="120" w:line="360" w:lineRule="auto"/>
        <w:ind w:hanging="11"/>
        <w:contextualSpacing w:val="0"/>
        <w:jc w:val="both"/>
        <w:rPr>
          <w:rFonts w:ascii="Arial" w:hAnsi="Arial"/>
          <w:noProof w:val="0"/>
        </w:rPr>
      </w:pPr>
      <w:r>
        <w:rPr>
          <w:rFonts w:ascii="Arial" w:hAnsi="Arial"/>
          <w:b/>
          <w:bCs/>
          <w:noProof w:val="0"/>
          <w:rtl/>
        </w:rPr>
        <w:t>טענת הזיוף</w:t>
      </w:r>
      <w:r>
        <w:rPr>
          <w:rFonts w:ascii="Arial" w:hAnsi="Arial"/>
          <w:noProof w:val="0"/>
          <w:rtl/>
        </w:rPr>
        <w:t xml:space="preserve"> – המנוחה כלל לא חתמה על הסכם המתנה וחתימתה זויפה; </w:t>
      </w:r>
    </w:p>
    <w:p w:rsidR="00DB218F" w:rsidRDefault="00DB218F" w:rsidP="00DB218F">
      <w:pPr>
        <w:pStyle w:val="1"/>
        <w:numPr>
          <w:ilvl w:val="0"/>
          <w:numId w:val="5"/>
        </w:numPr>
        <w:tabs>
          <w:tab w:val="left" w:pos="0"/>
          <w:tab w:val="left" w:pos="1134"/>
        </w:tabs>
        <w:spacing w:after="240" w:line="360" w:lineRule="auto"/>
        <w:ind w:hanging="12"/>
        <w:jc w:val="both"/>
        <w:rPr>
          <w:rFonts w:ascii="Arial" w:hAnsi="Arial"/>
          <w:noProof w:val="0"/>
        </w:rPr>
      </w:pPr>
      <w:r>
        <w:rPr>
          <w:rFonts w:ascii="Arial" w:hAnsi="Arial"/>
          <w:b/>
          <w:bCs/>
          <w:noProof w:val="0"/>
          <w:rtl/>
        </w:rPr>
        <w:t>חוסר כשרות של המנוחה</w:t>
      </w:r>
      <w:r>
        <w:rPr>
          <w:rFonts w:ascii="Arial" w:hAnsi="Arial"/>
          <w:noProof w:val="0"/>
          <w:rtl/>
        </w:rPr>
        <w:t xml:space="preserve"> במועד עריכת הסכם המתנה. בשל מצבה, המנוחה לא הבינה את משמעותו ולא גמרה בדעתה לערוך עסקת מתנה.</w:t>
      </w:r>
    </w:p>
    <w:p w:rsidR="00DB218F" w:rsidRDefault="00DB218F" w:rsidP="00DB218F">
      <w:pPr>
        <w:numPr>
          <w:ilvl w:val="0"/>
          <w:numId w:val="4"/>
        </w:numPr>
        <w:tabs>
          <w:tab w:val="left" w:pos="0"/>
        </w:tabs>
        <w:spacing w:after="240" w:line="360" w:lineRule="auto"/>
        <w:ind w:left="0" w:firstLine="0"/>
        <w:jc w:val="both"/>
        <w:rPr>
          <w:rFonts w:ascii="Arial" w:hAnsi="Arial"/>
          <w:noProof w:val="0"/>
        </w:rPr>
      </w:pPr>
      <w:r>
        <w:rPr>
          <w:rFonts w:ascii="Arial" w:hAnsi="Arial"/>
          <w:noProof w:val="0"/>
          <w:rtl/>
        </w:rPr>
        <w:lastRenderedPageBreak/>
        <w:t xml:space="preserve">יושם אל לב, כי המדובר למעשה בשתי טענות עובדתיות חלופיות הסותרות זו את זו. שהרי לפי האחת – המנוחה כלל לא חתמה על הסכם המתנה אלא חתימתה זויפה, ואילו על פי השנייה – המנוחה אכן חתמה אך לא הייתה כשירה לעשות כן. בנסיבות שלפניי – נבחנה תחילה טענת הזיוף ולאחר שהתקבלה חוות הדעת בעניין, אפשר בית המשפט לברר גם את טענת היעדר הכשרות המשפטית. </w:t>
      </w:r>
    </w:p>
    <w:p w:rsidR="00DB218F" w:rsidRDefault="00DB218F" w:rsidP="00DB218F">
      <w:pPr>
        <w:numPr>
          <w:ilvl w:val="0"/>
          <w:numId w:val="4"/>
        </w:numPr>
        <w:tabs>
          <w:tab w:val="left" w:pos="0"/>
        </w:tabs>
        <w:spacing w:after="240" w:line="360" w:lineRule="auto"/>
        <w:ind w:left="0" w:firstLine="0"/>
        <w:jc w:val="both"/>
        <w:rPr>
          <w:rFonts w:ascii="Arial" w:hAnsi="Arial"/>
          <w:noProof w:val="0"/>
        </w:rPr>
      </w:pPr>
      <w:r>
        <w:rPr>
          <w:noProof w:val="0"/>
          <w:rtl/>
          <w:lang w:eastAsia="he-IL"/>
        </w:rPr>
        <w:t>הנה כי כן, יש לבחון האם בנסיבות המקרה שלפניי חתימת המנוחה על הסכם המתנה זויפה, והאם המנוחה הייתה כשירה לערוך את הסכם המתנה וגמרה בדעתה להתקשר בו.</w:t>
      </w:r>
    </w:p>
    <w:p w:rsidR="00DB218F" w:rsidRDefault="00DB218F" w:rsidP="00DB218F">
      <w:pPr>
        <w:tabs>
          <w:tab w:val="left" w:pos="0"/>
        </w:tabs>
        <w:spacing w:after="240" w:line="360" w:lineRule="auto"/>
        <w:jc w:val="both"/>
        <w:rPr>
          <w:rFonts w:ascii="Arial" w:hAnsi="Arial"/>
          <w:noProof w:val="0"/>
        </w:rPr>
      </w:pPr>
      <w:r>
        <w:rPr>
          <w:rFonts w:ascii="Arial" w:hAnsi="Arial"/>
          <w:noProof w:val="0"/>
          <w:rtl/>
        </w:rPr>
        <w:tab/>
        <w:t xml:space="preserve">משכך אדרש עתה לבחינת השאלה הראשונה העומדת בבסיסו של פסק הדין – </w:t>
      </w:r>
      <w:r>
        <w:rPr>
          <w:rFonts w:ascii="Arial" w:hAnsi="Arial"/>
          <w:b/>
          <w:bCs/>
          <w:noProof w:val="0"/>
          <w:rtl/>
        </w:rPr>
        <w:t>האם חתימת המנוחה על הסכם המתנה מזויפת?</w:t>
      </w:r>
    </w:p>
    <w:p w:rsidR="00DB218F" w:rsidRDefault="00DB218F" w:rsidP="0036596F">
      <w:pPr>
        <w:pStyle w:val="a9"/>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(א) טענת הזיוף</w:t>
      </w:r>
    </w:p>
    <w:p w:rsidR="00DB218F" w:rsidRDefault="00DB218F" w:rsidP="00DB218F">
      <w:pPr>
        <w:pStyle w:val="a9"/>
        <w:numPr>
          <w:ilvl w:val="0"/>
          <w:numId w:val="4"/>
        </w:numPr>
        <w:spacing w:after="40" w:line="360" w:lineRule="auto"/>
        <w:ind w:left="0" w:firstLine="0"/>
        <w:jc w:val="both"/>
        <w:rPr>
          <w:rtl/>
        </w:rPr>
      </w:pPr>
      <w:r>
        <w:rPr>
          <w:rtl/>
        </w:rPr>
        <w:t xml:space="preserve">בע"א 5293/90 </w:t>
      </w:r>
      <w:r>
        <w:rPr>
          <w:b/>
          <w:bCs/>
          <w:rtl/>
        </w:rPr>
        <w:t>בנק הפועלים בע"מ נ' שאול רחמים בע"מ</w:t>
      </w:r>
      <w:r>
        <w:rPr>
          <w:rtl/>
        </w:rPr>
        <w:t xml:space="preserve">, פ"ד מז (3) 240, 261 (1993), נקבע כי ישנן </w:t>
      </w:r>
      <w:r>
        <w:rPr>
          <w:b/>
          <w:bCs/>
          <w:rtl/>
        </w:rPr>
        <w:t>שלוש דרכים</w:t>
      </w:r>
      <w:r>
        <w:rPr>
          <w:rtl/>
        </w:rPr>
        <w:t xml:space="preserve"> עיקריות שבהן ניתן להוכיח טענת זיוף חתימה:</w:t>
      </w:r>
    </w:p>
    <w:p w:rsidR="00DB218F" w:rsidRDefault="00DB218F" w:rsidP="00DB218F">
      <w:pPr>
        <w:pStyle w:val="a9"/>
        <w:numPr>
          <w:ilvl w:val="0"/>
          <w:numId w:val="6"/>
        </w:numPr>
        <w:spacing w:after="40" w:line="360" w:lineRule="auto"/>
        <w:ind w:left="1134" w:hanging="426"/>
        <w:jc w:val="both"/>
      </w:pPr>
      <w:r>
        <w:rPr>
          <w:rtl/>
        </w:rPr>
        <w:t>באמצעות ראיות ישירות – עדותו של החותם או מי שהיה עד לחתימה;</w:t>
      </w:r>
    </w:p>
    <w:p w:rsidR="00DB218F" w:rsidRDefault="00DB218F" w:rsidP="00DB218F">
      <w:pPr>
        <w:pStyle w:val="a9"/>
        <w:numPr>
          <w:ilvl w:val="0"/>
          <w:numId w:val="6"/>
        </w:numPr>
        <w:spacing w:after="40" w:line="360" w:lineRule="auto"/>
        <w:ind w:left="1134" w:hanging="426"/>
        <w:jc w:val="both"/>
      </w:pPr>
      <w:r>
        <w:rPr>
          <w:rtl/>
        </w:rPr>
        <w:t>באמצעות השוואת החתימה השנויה במחלוקת, לחתימות השוואה, הידועות כמקוריות;</w:t>
      </w:r>
    </w:p>
    <w:p w:rsidR="00DB218F" w:rsidRDefault="00DB218F" w:rsidP="0036596F">
      <w:pPr>
        <w:pStyle w:val="a9"/>
        <w:numPr>
          <w:ilvl w:val="0"/>
          <w:numId w:val="6"/>
        </w:numPr>
        <w:spacing w:after="240" w:line="360" w:lineRule="auto"/>
        <w:ind w:left="1134" w:hanging="425"/>
        <w:contextualSpacing w:val="0"/>
        <w:jc w:val="both"/>
      </w:pPr>
      <w:r>
        <w:rPr>
          <w:rtl/>
        </w:rPr>
        <w:t>באמצעות עדות של מי שמכיר היטב את כתב היד או חתימת ידו של החותם, ויכול להעיד כי חתימתו תואמת לחתימה השנויה במחלוקת.</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tl/>
        </w:rPr>
      </w:pPr>
      <w:r>
        <w:rPr>
          <w:rtl/>
        </w:rPr>
        <w:t>התובע עתר למינוי מומחה לבחינת שאלת זיוף חתימתה של המנוחה. כמו כן, הוזמן לעדות עו"ד ר</w:t>
      </w:r>
      <w:r w:rsidR="0036596F">
        <w:rPr>
          <w:rFonts w:hint="cs"/>
          <w:rtl/>
        </w:rPr>
        <w:t>'</w:t>
      </w:r>
      <w:r>
        <w:rPr>
          <w:rtl/>
        </w:rPr>
        <w:t xml:space="preserve"> אשר ערך את הסכם המתנה ונכח במועד חתימת הצדדים עליו.</w:t>
      </w:r>
    </w:p>
    <w:p w:rsidR="00DB218F" w:rsidRDefault="00DB218F" w:rsidP="00DB218F">
      <w:pPr>
        <w:pStyle w:val="a9"/>
        <w:numPr>
          <w:ilvl w:val="0"/>
          <w:numId w:val="4"/>
        </w:numPr>
        <w:spacing w:after="120" w:line="360" w:lineRule="auto"/>
        <w:ind w:left="0" w:firstLine="0"/>
        <w:jc w:val="both"/>
        <w:rPr>
          <w:rFonts w:ascii="Arial" w:hAnsi="Arial"/>
          <w:b/>
          <w:bCs/>
          <w:noProof w:val="0"/>
          <w:sz w:val="28"/>
          <w:szCs w:val="28"/>
          <w:u w:val="single"/>
        </w:rPr>
      </w:pPr>
      <w:r>
        <w:rPr>
          <w:rFonts w:ascii="Arial" w:hAnsi="Arial"/>
          <w:noProof w:val="0"/>
          <w:rtl/>
        </w:rPr>
        <w:t xml:space="preserve">כאמור, מונתה מומחית לצורך בחינת טענת הזיוף של חתימת המנוחה על הסכם המתנה. לאחר שהשוותה המומחית מסמכים שונים הנושאים את חתימתה של המנוחה, מסקנתה הייתה כי </w:t>
      </w:r>
      <w:r>
        <w:rPr>
          <w:rFonts w:ascii="Arial" w:hAnsi="Arial"/>
          <w:b/>
          <w:bCs/>
          <w:noProof w:val="0"/>
          <w:rtl/>
        </w:rPr>
        <w:t>סביר מאוד שהמנוחה היא אשר חתמה על הסכם המתנה</w:t>
      </w:r>
      <w:r>
        <w:rPr>
          <w:rFonts w:ascii="Arial" w:hAnsi="Arial"/>
          <w:noProof w:val="0"/>
          <w:rtl/>
        </w:rPr>
        <w:t xml:space="preserve"> (סעיף 4 לחוות דעת המומחית):</w:t>
      </w:r>
    </w:p>
    <w:p w:rsidR="00DB218F" w:rsidRDefault="0036596F" w:rsidP="00DB218F">
      <w:pPr>
        <w:spacing w:after="240" w:line="360" w:lineRule="auto"/>
        <w:jc w:val="both"/>
        <w:rPr>
          <w:rFonts w:ascii="Arial" w:hAnsi="Arial"/>
          <w:b/>
          <w:bCs/>
          <w:noProof w:val="0"/>
          <w:sz w:val="28"/>
          <w:szCs w:val="28"/>
          <w:u w:val="single"/>
        </w:rPr>
      </w:pPr>
      <w:r w:rsidRPr="0036596F">
        <w:rPr>
          <w:rFonts w:ascii="Arial" w:hAnsi="Arial"/>
          <w:sz w:val="28"/>
          <w:szCs w:val="28"/>
          <w:rtl/>
        </w:rPr>
        <w:drawing>
          <wp:inline distT="0" distB="0" distL="0" distR="0" wp14:anchorId="2A39CC52" wp14:editId="300A9030">
            <wp:extent cx="4998778" cy="569343"/>
            <wp:effectExtent l="0" t="0" r="0" b="2540"/>
            <wp:docPr id="45" name="תמונה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33447" cy="573292"/>
                    </a:xfrm>
                    <a:prstGeom prst="rect">
                      <a:avLst/>
                    </a:prstGeom>
                  </pic:spPr>
                </pic:pic>
              </a:graphicData>
            </a:graphic>
          </wp:inline>
        </w:drawing>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tl/>
        </w:rPr>
      </w:pPr>
      <w:r>
        <w:rPr>
          <w:rFonts w:ascii="David" w:hAnsi="David"/>
          <w:color w:val="000000"/>
          <w:rtl/>
        </w:rPr>
        <w:t xml:space="preserve">הצדדים לא העבירו למומחית שאלות הבהרה והיא לא נחקרה על חוות הדעת.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Pr>
      </w:pPr>
      <w:r>
        <w:rPr>
          <w:rFonts w:ascii="David" w:hAnsi="David"/>
          <w:color w:val="000000"/>
          <w:rtl/>
        </w:rPr>
        <w:t>מסקנות חוות הדעת עולות בקנה אחד עם עדותו של עו"ד ר</w:t>
      </w:r>
      <w:r w:rsidR="0036596F">
        <w:rPr>
          <w:rFonts w:ascii="David" w:hAnsi="David" w:hint="cs"/>
          <w:color w:val="000000"/>
          <w:rtl/>
        </w:rPr>
        <w:t>'</w:t>
      </w:r>
      <w:r>
        <w:rPr>
          <w:rFonts w:ascii="David" w:hAnsi="David"/>
          <w:color w:val="000000"/>
          <w:rtl/>
        </w:rPr>
        <w:t>, שלפיה המנוחה היא זאת אשר חתמה לפניו על הסכם המתנה (</w:t>
      </w:r>
      <w:r>
        <w:rPr>
          <w:rFonts w:ascii="Arial" w:hAnsi="Arial"/>
          <w:noProof w:val="0"/>
          <w:rtl/>
        </w:rPr>
        <w:t>פרוטוקול הדיון מיום 21.5.2024, עמ' 249, שו' 9-4)</w:t>
      </w:r>
      <w:r>
        <w:rPr>
          <w:rFonts w:ascii="David" w:hAnsi="David"/>
          <w:color w:val="000000"/>
          <w:rtl/>
        </w:rPr>
        <w:t>.</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rPr>
      </w:pPr>
      <w:r>
        <w:rPr>
          <w:rFonts w:ascii="David" w:hAnsi="David"/>
          <w:rtl/>
        </w:rPr>
        <w:lastRenderedPageBreak/>
        <w:t xml:space="preserve"> </w:t>
      </w:r>
      <w:r>
        <w:rPr>
          <w:rFonts w:ascii="David" w:hAnsi="David" w:hint="cs"/>
          <w:rtl/>
        </w:rPr>
        <w:t xml:space="preserve">בסעיף 1 לסיכום טענותיו, הבהיר התובע כי המחלוקת העיקרית נוגעת לכשירותה וגמירות דעתה של המנוחה במועד עריכת הסכם המתנה. </w:t>
      </w:r>
    </w:p>
    <w:p w:rsidR="00DB218F" w:rsidRDefault="00DB218F" w:rsidP="0036596F">
      <w:pPr>
        <w:pStyle w:val="1"/>
        <w:tabs>
          <w:tab w:val="left" w:pos="0"/>
        </w:tabs>
        <w:spacing w:after="240" w:line="360" w:lineRule="auto"/>
        <w:ind w:left="0" w:firstLine="709"/>
        <w:contextualSpacing w:val="0"/>
        <w:jc w:val="both"/>
        <w:rPr>
          <w:rFonts w:ascii="David" w:hAnsi="David"/>
        </w:rPr>
      </w:pPr>
      <w:r>
        <mc:AlternateContent>
          <mc:Choice Requires="wps">
            <w:drawing>
              <wp:anchor distT="0" distB="0" distL="114300" distR="114300" simplePos="0" relativeHeight="251662848" behindDoc="0" locked="0" layoutInCell="1" allowOverlap="1">
                <wp:simplePos x="0" y="0"/>
                <wp:positionH relativeFrom="margin">
                  <wp:posOffset>-215528</wp:posOffset>
                </wp:positionH>
                <wp:positionV relativeFrom="paragraph">
                  <wp:posOffset>563616</wp:posOffset>
                </wp:positionV>
                <wp:extent cx="5715000" cy="647700"/>
                <wp:effectExtent l="0" t="0" r="19050" b="19050"/>
                <wp:wrapNone/>
                <wp:docPr id="30" name="מלבן מעוגל 30"/>
                <wp:cNvGraphicFramePr/>
                <a:graphic xmlns:a="http://schemas.openxmlformats.org/drawingml/2006/main">
                  <a:graphicData uri="http://schemas.microsoft.com/office/word/2010/wordprocessingShape">
                    <wps:wsp>
                      <wps:cNvSpPr/>
                      <wps:spPr>
                        <a:xfrm>
                          <a:off x="0" y="0"/>
                          <a:ext cx="5715000" cy="647700"/>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F5A3DE" id="מלבן מעוגל 30" o:spid="_x0000_s1026" style="position:absolute;left:0;text-align:left;margin-left:-16.95pt;margin-top:44.4pt;width:450pt;height:51pt;z-index:25166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" fillcolor="#4f81bd [3204]" strokecolor="#243f60 [1604]" strokeweight="2pt">
                <v:fill opacity="19789f"/>
                <w10:wrap anchorx="margin"/>
              </v:roundrect>
            </w:pict>
          </mc:Fallback>
        </mc:AlternateContent>
      </w:r>
      <w:r>
        <w:rPr>
          <w:rFonts w:ascii="David" w:hAnsi="David"/>
          <w:rtl/>
        </w:rPr>
        <w:t xml:space="preserve">הנה כי כן, עיון בסיכום טענות התובע מלמד, כי טענת הזיוף נזנחה על ידו והושם הדגש רק על טענת העדר הכשירות.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b/>
          <w:bCs/>
          <w:color w:val="000000"/>
        </w:rPr>
      </w:pPr>
      <w:r>
        <w:rPr>
          <w:rFonts w:ascii="David" w:hAnsi="David"/>
          <w:b/>
          <w:bCs/>
          <w:color w:val="000000"/>
          <w:rtl/>
        </w:rPr>
        <w:t xml:space="preserve">המסקנה – התובע לא הרים את הנטל הנדרש על פי הדין על מנת ולהוכיח, כי חתימת המנוחה על הסכם המתנה זויפה. משכך נמצא, כי סביר יותר שהמנוחה היא שחתמה על הסכם המתנה בעצמה. </w:t>
      </w:r>
    </w:p>
    <w:p w:rsidR="00DB218F" w:rsidRDefault="00DB218F" w:rsidP="00DB218F">
      <w:pPr>
        <w:pStyle w:val="1"/>
        <w:numPr>
          <w:ilvl w:val="0"/>
          <w:numId w:val="4"/>
        </w:numPr>
        <w:tabs>
          <w:tab w:val="left" w:pos="0"/>
        </w:tabs>
        <w:spacing w:after="240" w:line="360" w:lineRule="auto"/>
        <w:ind w:left="0" w:firstLine="0"/>
        <w:jc w:val="both"/>
        <w:rPr>
          <w:rFonts w:ascii="David" w:hAnsi="David"/>
          <w:b/>
          <w:bCs/>
          <w:color w:val="000000"/>
        </w:rPr>
      </w:pPr>
      <w:r>
        <w:rPr>
          <w:rFonts w:ascii="David" w:hAnsi="David"/>
          <w:color w:val="000000"/>
          <w:rtl/>
        </w:rPr>
        <w:t xml:space="preserve">לנוכח קביעה זו, יש לעבור לבחינת השאלה השנייה העומדת בבסיסו של פסק הדין– </w:t>
      </w:r>
      <w:r>
        <w:rPr>
          <w:rFonts w:ascii="David" w:hAnsi="David"/>
          <w:b/>
          <w:bCs/>
          <w:color w:val="000000"/>
          <w:rtl/>
        </w:rPr>
        <w:t>האם כאשר חתמה המנוחה על הסכם המתנה הייתה כשירה לעשות כן, והאם גמרה בדעתה להעביר את מלוא זכויותיה בדירה לידי הנתבע?</w:t>
      </w:r>
    </w:p>
    <w:p w:rsidR="00DB218F" w:rsidRDefault="00DB218F" w:rsidP="00DB218F">
      <w:pPr>
        <w:spacing w:after="120" w:line="360" w:lineRule="auto"/>
        <w:jc w:val="both"/>
        <w:rPr>
          <w:rFonts w:ascii="Arial" w:hAnsi="Arial"/>
          <w:b/>
          <w:bCs/>
          <w:noProof w:val="0"/>
          <w:sz w:val="28"/>
          <w:szCs w:val="28"/>
          <w:u w:val="single"/>
        </w:rPr>
      </w:pPr>
      <w:r>
        <w:rPr>
          <w:rFonts w:ascii="Arial" w:hAnsi="Arial"/>
          <w:b/>
          <w:bCs/>
          <w:noProof w:val="0"/>
          <w:sz w:val="28"/>
          <w:szCs w:val="28"/>
          <w:u w:val="single"/>
          <w:rtl/>
        </w:rPr>
        <w:t>(ב) טענת היעדר כשירות</w:t>
      </w:r>
    </w:p>
    <w:p w:rsidR="00DB218F" w:rsidRDefault="00DB218F" w:rsidP="00DB218F">
      <w:pPr>
        <w:pStyle w:val="1"/>
        <w:numPr>
          <w:ilvl w:val="0"/>
          <w:numId w:val="4"/>
        </w:numPr>
        <w:tabs>
          <w:tab w:val="left" w:pos="0"/>
        </w:tabs>
        <w:spacing w:after="120" w:line="360" w:lineRule="auto"/>
        <w:ind w:left="0" w:firstLine="0"/>
        <w:jc w:val="both"/>
        <w:rPr>
          <w:rFonts w:ascii="David" w:hAnsi="David"/>
          <w:color w:val="000000"/>
        </w:rPr>
      </w:pPr>
      <w:r>
        <w:rPr>
          <w:rFonts w:ascii="David" w:hAnsi="David"/>
          <w:noProof w:val="0"/>
          <w:rtl/>
        </w:rPr>
        <w:t xml:space="preserve">בסעיף 2 לחוק הכשרות המשפטית והאפוטרופסות, התשכ"ב-1962 (להלן: </w:t>
      </w:r>
      <w:r>
        <w:rPr>
          <w:rFonts w:ascii="David" w:hAnsi="David"/>
          <w:b/>
          <w:bCs/>
          <w:noProof w:val="0"/>
          <w:rtl/>
        </w:rPr>
        <w:t>"חוק הכשרות"</w:t>
      </w:r>
      <w:r>
        <w:rPr>
          <w:rFonts w:ascii="David" w:hAnsi="David"/>
          <w:noProof w:val="0"/>
          <w:rtl/>
        </w:rPr>
        <w:t xml:space="preserve">) נקבע כי: </w:t>
      </w:r>
    </w:p>
    <w:p w:rsidR="00DB218F" w:rsidRDefault="00DB218F" w:rsidP="0036596F">
      <w:pPr>
        <w:pStyle w:val="1"/>
        <w:spacing w:after="360"/>
        <w:ind w:left="1134" w:right="1134"/>
        <w:contextualSpacing w:val="0"/>
        <w:jc w:val="both"/>
        <w:rPr>
          <w:rFonts w:ascii="David" w:hAnsi="David"/>
          <w:noProof w:val="0"/>
        </w:rPr>
      </w:pPr>
      <w:r>
        <w:rPr>
          <w:rFonts w:ascii="David" w:hAnsi="David"/>
          <w:noProof w:val="0"/>
          <w:rtl/>
        </w:rPr>
        <w:t>"</w:t>
      </w:r>
      <w:r>
        <w:rPr>
          <w:rFonts w:ascii="David" w:hAnsi="David"/>
          <w:b/>
          <w:bCs/>
          <w:noProof w:val="0"/>
          <w:rtl/>
        </w:rPr>
        <w:t>כל אדם כשר לפעולות משפטיות, זולת אם נשללה או הוגבלה כשרות זו בחוק או בפסק דין של בית משפט</w:t>
      </w:r>
      <w:r>
        <w:rPr>
          <w:rFonts w:ascii="David" w:hAnsi="David"/>
          <w:noProof w:val="0"/>
          <w:rtl/>
        </w:rPr>
        <w:t xml:space="preserve">". </w:t>
      </w:r>
    </w:p>
    <w:p w:rsidR="00DB218F" w:rsidRDefault="00DB218F" w:rsidP="0036596F">
      <w:pPr>
        <w:pStyle w:val="1"/>
        <w:numPr>
          <w:ilvl w:val="0"/>
          <w:numId w:val="4"/>
        </w:numPr>
        <w:tabs>
          <w:tab w:val="left" w:pos="0"/>
        </w:tabs>
        <w:spacing w:after="240" w:line="360" w:lineRule="auto"/>
        <w:ind w:left="0" w:firstLine="0"/>
        <w:contextualSpacing w:val="0"/>
        <w:jc w:val="both"/>
        <w:rPr>
          <w:rFonts w:ascii="David" w:hAnsi="David"/>
          <w:color w:val="000000"/>
          <w:rtl/>
        </w:rPr>
      </w:pPr>
      <w:r>
        <w:rPr>
          <w:rFonts w:ascii="David" w:hAnsi="David"/>
          <w:noProof w:val="0"/>
          <w:rtl/>
        </w:rPr>
        <w:t>חזקה על אדם שהוא כשיר לפעולות משפטיות, ובהן עריכת הסכם מתנה – חזקה היא על נותן המתנה, כי בעת עריכת ההסכם ידע להבין את משמעותו.</w:t>
      </w:r>
      <w:r>
        <w:rPr>
          <w:rFonts w:ascii="Arial" w:hAnsi="Arial" w:cs="Arial"/>
          <w:noProof w:val="0"/>
          <w:sz w:val="27"/>
          <w:szCs w:val="27"/>
          <w:rtl/>
        </w:rPr>
        <w:t xml:space="preserve"> </w:t>
      </w:r>
    </w:p>
    <w:p w:rsidR="00DB218F" w:rsidRDefault="00DB218F" w:rsidP="0036596F">
      <w:pPr>
        <w:pStyle w:val="1"/>
        <w:numPr>
          <w:ilvl w:val="0"/>
          <w:numId w:val="4"/>
        </w:numPr>
        <w:spacing w:after="240" w:line="360" w:lineRule="auto"/>
        <w:ind w:left="0" w:firstLine="0"/>
        <w:contextualSpacing w:val="0"/>
        <w:jc w:val="both"/>
        <w:rPr>
          <w:rFonts w:ascii="David" w:hAnsi="David"/>
          <w:noProof w:val="0"/>
        </w:rPr>
      </w:pPr>
      <w:r>
        <w:rPr>
          <w:rFonts w:ascii="David" w:hAnsi="David"/>
          <w:noProof w:val="0"/>
          <w:rtl/>
        </w:rPr>
        <w:t>שלילת כשרותו של אדם לעשיית פעולות משפטיות היא אינה דבר של מה בכך, ו</w:t>
      </w:r>
      <w:r>
        <w:rPr>
          <w:rFonts w:ascii="David" w:hAnsi="David"/>
          <w:b/>
          <w:bCs/>
          <w:noProof w:val="0"/>
          <w:rtl/>
        </w:rPr>
        <w:t xml:space="preserve">הנטל לסתירת חזקת הכשרות בפרט לאחר פטירתו, הוא כבד ביותר ומוטל על הטוען לחוסר הכשירות – התובע בענייננו </w:t>
      </w:r>
      <w:r>
        <w:rPr>
          <w:noProof w:val="0"/>
          <w:rtl/>
        </w:rPr>
        <w:t>(</w:t>
      </w:r>
      <w:r>
        <w:rPr>
          <w:noProof w:val="0"/>
          <w:color w:val="000000"/>
          <w:rtl/>
        </w:rPr>
        <w:t xml:space="preserve">ע"א 1548/96 </w:t>
      </w:r>
      <w:r>
        <w:rPr>
          <w:b/>
          <w:bCs/>
          <w:noProof w:val="0"/>
          <w:color w:val="000000"/>
          <w:rtl/>
        </w:rPr>
        <w:t>בנק איגוד לישראל בע"מ נ' זהבה לופו</w:t>
      </w:r>
      <w:r>
        <w:rPr>
          <w:noProof w:val="0"/>
          <w:color w:val="000000"/>
          <w:rtl/>
        </w:rPr>
        <w:t>, נד</w:t>
      </w:r>
      <w:r>
        <w:rPr>
          <w:noProof w:val="0"/>
          <w:rtl/>
        </w:rPr>
        <w:t xml:space="preserve"> (2) 559, 570 (2000)).</w:t>
      </w:r>
    </w:p>
    <w:p w:rsidR="00DB218F" w:rsidRDefault="00DB218F" w:rsidP="00DB218F">
      <w:pPr>
        <w:numPr>
          <w:ilvl w:val="0"/>
          <w:numId w:val="4"/>
        </w:numPr>
        <w:spacing w:after="240" w:line="360" w:lineRule="auto"/>
        <w:ind w:left="0" w:firstLine="0"/>
        <w:jc w:val="both"/>
        <w:rPr>
          <w:rFonts w:ascii="David" w:hAnsi="David"/>
          <w:noProof w:val="0"/>
          <w:spacing w:val="6"/>
        </w:rPr>
      </w:pPr>
      <w:r>
        <w:rPr>
          <w:rFonts w:ascii="David" w:hAnsi="David"/>
          <w:noProof w:val="0"/>
          <w:spacing w:val="6"/>
          <w:rtl/>
        </w:rPr>
        <w:t xml:space="preserve">כאמור, לטענת התובע המנוחה </w:t>
      </w:r>
      <w:r>
        <w:rPr>
          <w:rFonts w:ascii="David" w:hAnsi="David"/>
          <w:b/>
          <w:bCs/>
          <w:noProof w:val="0"/>
          <w:spacing w:val="6"/>
          <w:rtl/>
        </w:rPr>
        <w:t>לא הייתה כשירה לביצוע פעולות משפטיות</w:t>
      </w:r>
      <w:r>
        <w:rPr>
          <w:rFonts w:ascii="David" w:hAnsi="David"/>
          <w:noProof w:val="0"/>
          <w:spacing w:val="6"/>
          <w:rtl/>
        </w:rPr>
        <w:t xml:space="preserve"> במועד עריכת הסכם המתנה, ומשכך המנוחה </w:t>
      </w:r>
      <w:r>
        <w:rPr>
          <w:rFonts w:ascii="David" w:hAnsi="David"/>
          <w:b/>
          <w:bCs/>
          <w:noProof w:val="0"/>
          <w:spacing w:val="6"/>
          <w:rtl/>
        </w:rPr>
        <w:t>לא גמרה בדעתה לחתום על הסכם המתנה</w:t>
      </w:r>
      <w:r>
        <w:rPr>
          <w:rFonts w:ascii="David" w:hAnsi="David"/>
          <w:noProof w:val="0"/>
          <w:spacing w:val="6"/>
          <w:rtl/>
        </w:rPr>
        <w:t xml:space="preserve">. </w:t>
      </w:r>
    </w:p>
    <w:p w:rsidR="00DB218F" w:rsidRDefault="00DB218F" w:rsidP="00DB218F">
      <w:pPr>
        <w:pStyle w:val="1"/>
        <w:numPr>
          <w:ilvl w:val="0"/>
          <w:numId w:val="4"/>
        </w:numPr>
        <w:tabs>
          <w:tab w:val="left" w:pos="0"/>
        </w:tabs>
        <w:spacing w:after="240" w:line="360" w:lineRule="auto"/>
        <w:ind w:left="0" w:firstLine="0"/>
        <w:jc w:val="both"/>
        <w:rPr>
          <w:rFonts w:ascii="David" w:hAnsi="David"/>
          <w:color w:val="000000"/>
        </w:rPr>
      </w:pPr>
      <w:r>
        <w:rPr>
          <w:rFonts w:ascii="David" w:hAnsi="David"/>
          <w:noProof w:val="0"/>
          <w:rtl/>
        </w:rPr>
        <w:t xml:space="preserve">מהיות המתנה חוזה, נובע כי בעניינים שבהם חוק המתנה לא דן במישרין, יחולו דיני החוזים הכלליים. כללי הכניסה הרגילים חלים אף על חוזה המתנה: יש צורך לזהות הצעה; קיבול; גמירוּת דעת ומסוימוּת, ונדרש כמובן לצלוח את מבחן הכוונה, כדי ליצור יחסים משפטיים. עם זאת, בחינת הדברים שונה לחלוטין מבחינה של התחייבויות שאינן מתנה. </w:t>
      </w:r>
      <w:r>
        <w:rPr>
          <w:noProof w:val="0"/>
          <w:rtl/>
        </w:rPr>
        <w:t>חוזה מתנה הוא חוזה שההתחייבות שבו היא של צד אחד בלבד, ומבחינה זו הוא חוזה חד-צדדי, והצהרת הרצון המרכזית שבו היא של נותן המתנה.</w:t>
      </w:r>
      <w:r>
        <w:rPr>
          <w:rFonts w:ascii="David" w:hAnsi="David"/>
          <w:noProof w:val="0"/>
          <w:rtl/>
        </w:rPr>
        <w:t xml:space="preserve"> משכך, יש משנה חשיבות לגמירת דעתו ויש לוודא מעל לכל ספק, כי נותן המתנה אכן התכוון לתת מתנה מתוך רצון חופשי, וכי אין ליקוי רצון הפוגע בגמירת דעתו. במקרה זה דרוש חופש מצפון והחלטה מלאים ושלמים יותר מאלו הדרושים בחוזים דו-צדדיים. ודוק, משמדובר במתנה, </w:t>
      </w:r>
      <w:r>
        <w:rPr>
          <w:rFonts w:ascii="David" w:hAnsi="David"/>
          <w:noProof w:val="0"/>
          <w:rtl/>
        </w:rPr>
        <w:lastRenderedPageBreak/>
        <w:t>המהווה חוזה חד-צדדי, יש לשים דגש מיוחד על רצונו ועל גמירוּת דעתו של הנותן בזמן יצירת החוזה</w:t>
      </w:r>
      <w:r>
        <w:rPr>
          <w:rFonts w:ascii="David" w:hAnsi="David"/>
          <w:noProof w:val="0"/>
          <w:color w:val="000000"/>
          <w:rtl/>
        </w:rPr>
        <w:t>.</w:t>
      </w:r>
      <w:r>
        <w:rPr>
          <w:rFonts w:ascii="David" w:hAnsi="David"/>
          <w:noProof w:val="0"/>
          <w:rtl/>
        </w:rPr>
        <w:t xml:space="preserve"> </w:t>
      </w:r>
      <w:r>
        <w:rPr>
          <w:noProof w:val="0"/>
          <w:rtl/>
        </w:rPr>
        <w:t xml:space="preserve">כאשר מדובר בעסקת מתנה, המבחן האובייקטיבי-חיצוני לבחינת התקיימותה של גמירת-דעת אינו מאבד מתוקפו, אולם יש להביא בחשבון כי </w:t>
      </w:r>
      <w:r>
        <w:rPr>
          <w:b/>
          <w:bCs/>
          <w:noProof w:val="0"/>
          <w:rtl/>
        </w:rPr>
        <w:t>ההגנה על אינטרס ההסתמכות</w:t>
      </w:r>
      <w:r>
        <w:rPr>
          <w:noProof w:val="0"/>
          <w:rtl/>
        </w:rPr>
        <w:t xml:space="preserve"> של מקבל המתנה </w:t>
      </w:r>
      <w:r>
        <w:rPr>
          <w:b/>
          <w:bCs/>
          <w:noProof w:val="0"/>
          <w:rtl/>
        </w:rPr>
        <w:t>פוחתת</w:t>
      </w:r>
      <w:r>
        <w:rPr>
          <w:noProof w:val="0"/>
          <w:rtl/>
        </w:rPr>
        <w:t xml:space="preserve"> בעמדה אל מול הצורך לתת ביטוי לרצונו של נותן המתנה</w:t>
      </w:r>
      <w:r>
        <w:rPr>
          <w:rFonts w:ascii="David" w:hAnsi="David"/>
          <w:noProof w:val="0"/>
          <w:rtl/>
        </w:rPr>
        <w:t xml:space="preserve"> (מרדכי ראבילו "על מתנה ועושק" </w:t>
      </w:r>
      <w:r>
        <w:rPr>
          <w:rFonts w:ascii="David" w:hAnsi="David"/>
          <w:b/>
          <w:bCs/>
          <w:noProof w:val="0"/>
          <w:rtl/>
        </w:rPr>
        <w:t>מחקרי משפט</w:t>
      </w:r>
      <w:r>
        <w:rPr>
          <w:rFonts w:ascii="David" w:hAnsi="David"/>
          <w:noProof w:val="0"/>
          <w:rtl/>
        </w:rPr>
        <w:t xml:space="preserve"> י' 183, 186</w:t>
      </w:r>
      <w:r>
        <w:rPr>
          <w:rFonts w:ascii="David" w:hAnsi="David"/>
          <w:noProof w:val="0"/>
          <w:color w:val="000000"/>
          <w:rtl/>
        </w:rPr>
        <w:t xml:space="preserve"> (1993); ע"א 3601/96 </w:t>
      </w:r>
      <w:r>
        <w:rPr>
          <w:b/>
          <w:bCs/>
          <w:noProof w:val="0"/>
          <w:rtl/>
        </w:rPr>
        <w:t>עמית בראשי נ' עיזבון המנוח זלמן בראשי ז"ל</w:t>
      </w:r>
      <w:r>
        <w:rPr>
          <w:noProof w:val="0"/>
          <w:rtl/>
        </w:rPr>
        <w:t>, פ"ד נב(2) 582</w:t>
      </w:r>
      <w:r>
        <w:rPr>
          <w:rFonts w:ascii="David" w:hAnsi="David"/>
          <w:noProof w:val="0"/>
          <w:rtl/>
        </w:rPr>
        <w:t xml:space="preserve"> (1998); ע"א 6439/99 </w:t>
      </w:r>
      <w:r>
        <w:rPr>
          <w:rFonts w:ascii="David" w:hAnsi="David"/>
          <w:b/>
          <w:bCs/>
          <w:noProof w:val="0"/>
          <w:rtl/>
        </w:rPr>
        <w:t>"טפחות" בנק משכנתאות לישראל בע"מ נ' חיים פרח</w:t>
      </w:r>
      <w:r>
        <w:rPr>
          <w:rFonts w:ascii="David" w:hAnsi="David"/>
          <w:noProof w:val="0"/>
          <w:rtl/>
        </w:rPr>
        <w:t>, נח(2) 106 (2003)</w:t>
      </w:r>
      <w:r>
        <w:rPr>
          <w:rFonts w:ascii="David" w:hAnsi="David"/>
          <w:noProof w:val="0"/>
          <w:color w:val="000000"/>
          <w:rtl/>
        </w:rPr>
        <w:t>).</w:t>
      </w:r>
    </w:p>
    <w:p w:rsidR="00DB218F" w:rsidRDefault="00DB218F" w:rsidP="00DB218F">
      <w:pPr>
        <w:numPr>
          <w:ilvl w:val="0"/>
          <w:numId w:val="4"/>
        </w:numPr>
        <w:tabs>
          <w:tab w:val="left" w:pos="567"/>
        </w:tabs>
        <w:spacing w:after="120" w:line="360" w:lineRule="auto"/>
        <w:ind w:left="0" w:firstLine="0"/>
        <w:jc w:val="both"/>
        <w:rPr>
          <w:rFonts w:ascii="David" w:hAnsi="David"/>
          <w:noProof w:val="0"/>
          <w:spacing w:val="6"/>
        </w:rPr>
      </w:pPr>
      <w:r>
        <w:rPr>
          <w:rFonts w:ascii="David" w:hAnsi="David"/>
          <w:noProof w:val="0"/>
          <w:spacing w:val="6"/>
          <w:rtl/>
        </w:rPr>
        <w:t xml:space="preserve">בפסיקה אף הודגשה חשיבותה של </w:t>
      </w:r>
      <w:r>
        <w:rPr>
          <w:rFonts w:ascii="David" w:hAnsi="David"/>
          <w:b/>
          <w:bCs/>
          <w:noProof w:val="0"/>
          <w:spacing w:val="6"/>
          <w:rtl/>
        </w:rPr>
        <w:t>עריכת בדיקה דקדקנית בנוגע לקיומה של גמירת הדעת של נותן המתנה, במיוחד כאשר מדובר</w:t>
      </w:r>
      <w:r>
        <w:rPr>
          <w:rFonts w:ascii="David" w:hAnsi="David"/>
          <w:noProof w:val="0"/>
          <w:spacing w:val="6"/>
          <w:rtl/>
        </w:rPr>
        <w:t xml:space="preserve"> </w:t>
      </w:r>
      <w:r>
        <w:rPr>
          <w:rFonts w:ascii="David" w:hAnsi="David"/>
          <w:b/>
          <w:bCs/>
          <w:noProof w:val="0"/>
          <w:spacing w:val="6"/>
          <w:rtl/>
        </w:rPr>
        <w:t>במתנה במקרקעין</w:t>
      </w:r>
      <w:r>
        <w:rPr>
          <w:rFonts w:ascii="David" w:hAnsi="David"/>
          <w:noProof w:val="0"/>
          <w:spacing w:val="6"/>
          <w:rtl/>
        </w:rPr>
        <w:t xml:space="preserve">. ראו ב-ע"א 7051/93 </w:t>
      </w:r>
      <w:r>
        <w:rPr>
          <w:rFonts w:ascii="David" w:hAnsi="David"/>
          <w:b/>
          <w:bCs/>
          <w:noProof w:val="0"/>
          <w:spacing w:val="6"/>
          <w:rtl/>
        </w:rPr>
        <w:t>האפוטרופוס הכללי נ' איתן גולדברג</w:t>
      </w:r>
      <w:r>
        <w:rPr>
          <w:noProof w:val="0"/>
          <w:sz w:val="22"/>
          <w:rtl/>
        </w:rPr>
        <w:t xml:space="preserve"> </w:t>
      </w:r>
      <w:r>
        <w:rPr>
          <w:rFonts w:ascii="David" w:hAnsi="David"/>
          <w:noProof w:val="0"/>
          <w:spacing w:val="6"/>
          <w:rtl/>
        </w:rPr>
        <w:t xml:space="preserve">(20.7.1995): </w:t>
      </w:r>
    </w:p>
    <w:p w:rsidR="00DB218F" w:rsidRDefault="00DB218F" w:rsidP="00DB218F">
      <w:pPr>
        <w:tabs>
          <w:tab w:val="left" w:pos="-2134"/>
        </w:tabs>
        <w:spacing w:after="360"/>
        <w:ind w:left="1134" w:right="1134"/>
        <w:jc w:val="both"/>
        <w:rPr>
          <w:rFonts w:ascii="David" w:hAnsi="David"/>
          <w:noProof w:val="0"/>
        </w:rPr>
      </w:pPr>
      <w:r>
        <w:rPr>
          <w:rFonts w:ascii="David" w:hAnsi="David"/>
          <w:noProof w:val="0"/>
          <w:rtl/>
        </w:rPr>
        <w:t>"</w:t>
      </w:r>
      <w:r>
        <w:rPr>
          <w:rFonts w:ascii="David" w:hAnsi="David"/>
          <w:b/>
          <w:bCs/>
          <w:noProof w:val="0"/>
          <w:rtl/>
        </w:rPr>
        <w:t xml:space="preserve">אכן, בהיות המתנה חוזה חד צדדי, ובפרט כאשר המדובר במתנה במקרקעין חייבת להיות הבדיקה לגבי גמירת דעתו של הנותן קפדנית במיוחד... טיבן של מתנות שהן ניתנות בשעה שקיימת קרבה וחיבה בין המעניק למקבל... הקירבה האמורה יוצרת חזקה – כאשר המדובר ביחסי משפחה – ולפיה, העברה ללא תמורה נעשית מתוך כוונה להעניק למקבל את הנכס במתנה ((ע"א 3829/91 אבינועם וואלס נ' נחמה גת (טרם פורסם) </w:t>
      </w:r>
      <w:r>
        <w:rPr>
          <w:b/>
          <w:bCs/>
          <w:noProof w:val="0"/>
          <w:sz w:val="22"/>
          <w:rtl/>
        </w:rPr>
        <w:t>[פורסם בנבו]</w:t>
      </w:r>
      <w:r>
        <w:rPr>
          <w:rFonts w:ascii="David" w:hAnsi="David"/>
          <w:b/>
          <w:bCs/>
          <w:noProof w:val="0"/>
          <w:rtl/>
        </w:rPr>
        <w:t>). חזקת הכוונה, המונחת ביסודה של המתנה, מבוססת על ניסיון החיים ומשתנה בהתאם לנסיבותיו המיוחדות של כל מקרה. פועלה של החזקה בכך שהיא משיתה את הנטל לסתירתה ממקבל המתנה לטוען לבטלותה. נטל זה, אין להרימו בהטלת דופי גרידא, אלא יש להראות כי בנסיבותיו של העניין, הקניית המתנה משוללת כל הגיון</w:t>
      </w:r>
      <w:r>
        <w:rPr>
          <w:rFonts w:ascii="David" w:hAnsi="David"/>
          <w:noProof w:val="0"/>
          <w:rtl/>
        </w:rPr>
        <w:t>".</w:t>
      </w:r>
      <w:r>
        <w:rPr>
          <w:rFonts w:ascii="David" w:hAnsi="David"/>
          <w:b/>
          <w:bCs/>
          <w:noProof w:val="0"/>
          <w:rtl/>
        </w:rPr>
        <w:t xml:space="preserve"> </w:t>
      </w:r>
    </w:p>
    <w:p w:rsidR="00DB218F" w:rsidRDefault="00DB218F" w:rsidP="00DB218F">
      <w:pPr>
        <w:numPr>
          <w:ilvl w:val="0"/>
          <w:numId w:val="4"/>
        </w:numPr>
        <w:tabs>
          <w:tab w:val="left" w:pos="0"/>
        </w:tabs>
        <w:spacing w:after="240" w:line="360" w:lineRule="auto"/>
        <w:ind w:left="0" w:firstLine="0"/>
        <w:jc w:val="both"/>
        <w:rPr>
          <w:rFonts w:ascii="David" w:hAnsi="David"/>
          <w:noProof w:val="0"/>
          <w:spacing w:val="6"/>
        </w:rPr>
      </w:pPr>
      <w:r>
        <w:rPr>
          <w:rFonts w:ascii="David" w:hAnsi="David"/>
          <w:b/>
          <w:bCs/>
          <w:noProof w:val="0"/>
          <w:rtl/>
        </w:rPr>
        <w:t>המועד הרלוונטי</w:t>
      </w:r>
      <w:r>
        <w:rPr>
          <w:rFonts w:ascii="David" w:hAnsi="David"/>
          <w:noProof w:val="0"/>
          <w:rtl/>
        </w:rPr>
        <w:t xml:space="preserve"> לבחינת כשרותו של אדם אשר נטען, כי הוא נעדר כשרות הוא מועד ביצוע הפעולה המשפטית (עמ"ש 52719-06-20 </w:t>
      </w:r>
      <w:r>
        <w:rPr>
          <w:rFonts w:ascii="David" w:hAnsi="David"/>
          <w:b/>
          <w:bCs/>
          <w:noProof w:val="0"/>
          <w:rtl/>
        </w:rPr>
        <w:t>א' נ' ב'</w:t>
      </w:r>
      <w:r>
        <w:rPr>
          <w:noProof w:val="0"/>
          <w:sz w:val="22"/>
          <w:rtl/>
        </w:rPr>
        <w:t xml:space="preserve"> </w:t>
      </w:r>
      <w:r>
        <w:rPr>
          <w:rFonts w:ascii="David" w:hAnsi="David"/>
          <w:noProof w:val="0"/>
          <w:rtl/>
        </w:rPr>
        <w:t>(2.3.2022))</w:t>
      </w:r>
      <w:r>
        <w:rPr>
          <w:rFonts w:ascii="David" w:hAnsi="David"/>
          <w:noProof w:val="0"/>
          <w:spacing w:val="6"/>
          <w:rtl/>
        </w:rPr>
        <w:t xml:space="preserve">. בענייננו, </w:t>
      </w:r>
      <w:r>
        <w:rPr>
          <w:rFonts w:ascii="David" w:hAnsi="David"/>
          <w:b/>
          <w:bCs/>
          <w:noProof w:val="0"/>
          <w:spacing w:val="6"/>
          <w:rtl/>
        </w:rPr>
        <w:t>מועד עריכת הסכם המתנה – 25.10.2011.</w:t>
      </w:r>
    </w:p>
    <w:p w:rsidR="00DB218F" w:rsidRDefault="00DB218F" w:rsidP="0036596F">
      <w:pPr>
        <w:pStyle w:val="a9"/>
        <w:numPr>
          <w:ilvl w:val="0"/>
          <w:numId w:val="4"/>
        </w:numPr>
        <w:spacing w:after="240" w:line="360" w:lineRule="auto"/>
        <w:ind w:left="0" w:firstLine="0"/>
        <w:contextualSpacing w:val="0"/>
        <w:jc w:val="both"/>
        <w:rPr>
          <w:rFonts w:ascii="David" w:hAnsi="David"/>
          <w:noProof w:val="0"/>
        </w:rPr>
      </w:pPr>
      <w:r>
        <w:rPr>
          <w:rFonts w:ascii="David" w:hAnsi="David"/>
          <w:noProof w:val="0"/>
          <w:rtl/>
        </w:rPr>
        <w:t xml:space="preserve">בחינת כשרותו של אדם היא עניין </w:t>
      </w:r>
      <w:r>
        <w:rPr>
          <w:rFonts w:ascii="David" w:hAnsi="David"/>
          <w:b/>
          <w:bCs/>
          <w:noProof w:val="0"/>
          <w:rtl/>
        </w:rPr>
        <w:t>שברפואה</w:t>
      </w:r>
      <w:r>
        <w:rPr>
          <w:rFonts w:ascii="David" w:hAnsi="David"/>
          <w:noProof w:val="0"/>
          <w:rtl/>
        </w:rPr>
        <w:t xml:space="preserve"> שעל מנת להוכיחו יש להביא חוות דעת רפואית או עדות אחרת. משכך, נוהגים בתי המשפט למנות מומחים רפואיים לשם הגשת חוות דעתם ביחס לשאלה זו. על פי הפסיקה, בתי המשפט ייטו לאמץ חוות דעת של מומחים שמונו על ידו, ויש צורך בנימוק מהותי וכבד משקל על מנת שבית המשפט ידחה את מסקנות חוות דעת המומחה מטעמו. לבית המשפט שיקול דעת האם להעדיף חוות דעת רפואית על פני עדויות אחרות (ע"א 2934/94 </w:t>
      </w:r>
      <w:r>
        <w:rPr>
          <w:rFonts w:ascii="David" w:hAnsi="David"/>
          <w:b/>
          <w:bCs/>
          <w:noProof w:val="0"/>
          <w:rtl/>
        </w:rPr>
        <w:t>סולל בונה בע"מ נ' ארז החתן ואח'</w:t>
      </w:r>
      <w:r>
        <w:rPr>
          <w:rFonts w:ascii="David" w:hAnsi="David"/>
          <w:noProof w:val="0"/>
          <w:sz w:val="22"/>
          <w:rtl/>
        </w:rPr>
        <w:t xml:space="preserve"> </w:t>
      </w:r>
      <w:r>
        <w:rPr>
          <w:rFonts w:ascii="David" w:hAnsi="David"/>
          <w:noProof w:val="0"/>
          <w:rtl/>
        </w:rPr>
        <w:t xml:space="preserve">(2.6.1996); ע"א 1240/96 </w:t>
      </w:r>
      <w:r>
        <w:rPr>
          <w:rFonts w:ascii="David" w:hAnsi="David"/>
          <w:b/>
          <w:bCs/>
          <w:noProof w:val="0"/>
          <w:rtl/>
        </w:rPr>
        <w:t>חברת שיכון עובדים בע"מ נ' רוזנטל ואח'</w:t>
      </w:r>
      <w:r>
        <w:rPr>
          <w:rFonts w:ascii="David" w:hAnsi="David"/>
          <w:noProof w:val="0"/>
          <w:rtl/>
        </w:rPr>
        <w:t xml:space="preserve"> פ"ד נב(4) 563, 569 (1998); ת"ע(ת"א) 52816-10-10 </w:t>
      </w:r>
      <w:r>
        <w:rPr>
          <w:rFonts w:ascii="David" w:hAnsi="David"/>
          <w:b/>
          <w:bCs/>
          <w:noProof w:val="0"/>
          <w:rtl/>
        </w:rPr>
        <w:t>א' נ' י'</w:t>
      </w:r>
      <w:r>
        <w:rPr>
          <w:rFonts w:ascii="David" w:hAnsi="David"/>
          <w:noProof w:val="0"/>
          <w:rtl/>
        </w:rPr>
        <w:t xml:space="preserve"> (17.5.2012); ת"ע (ת"א) 100760-09 </w:t>
      </w:r>
      <w:r>
        <w:rPr>
          <w:rFonts w:ascii="David" w:hAnsi="David"/>
          <w:b/>
          <w:bCs/>
          <w:rtl/>
        </w:rPr>
        <w:t>בועז יעקב נ'</w:t>
      </w:r>
      <w:r>
        <w:rPr>
          <w:rFonts w:ascii="David" w:hAnsi="David"/>
          <w:b/>
          <w:bCs/>
        </w:rPr>
        <w:t> </w:t>
      </w:r>
      <w:r>
        <w:rPr>
          <w:rFonts w:ascii="David" w:hAnsi="David"/>
          <w:b/>
          <w:bCs/>
          <w:rtl/>
        </w:rPr>
        <w:t xml:space="preserve">דוד מחקשווילי </w:t>
      </w:r>
      <w:r>
        <w:rPr>
          <w:rFonts w:ascii="David" w:hAnsi="David"/>
          <w:noProof w:val="0"/>
          <w:rtl/>
        </w:rPr>
        <w:t xml:space="preserve">(3.10.2013)). </w:t>
      </w:r>
    </w:p>
    <w:p w:rsidR="00DB218F" w:rsidRDefault="00DB218F" w:rsidP="00DB218F">
      <w:pPr>
        <w:pStyle w:val="a9"/>
        <w:numPr>
          <w:ilvl w:val="0"/>
          <w:numId w:val="4"/>
        </w:numPr>
        <w:spacing w:after="120" w:line="360" w:lineRule="auto"/>
        <w:ind w:left="0" w:firstLine="0"/>
        <w:jc w:val="both"/>
        <w:rPr>
          <w:rFonts w:ascii="David" w:hAnsi="David"/>
          <w:noProof w:val="0"/>
        </w:rPr>
      </w:pPr>
      <w:r>
        <w:rPr>
          <w:rFonts w:ascii="David" w:hAnsi="David"/>
          <w:noProof w:val="0"/>
          <w:rtl/>
        </w:rPr>
        <w:t xml:space="preserve">הפסיקה ייחדה משמעות רבה לחוות דעת של מומחה מטעם בית המשפט. ראו ע"א </w:t>
      </w:r>
      <w:r>
        <w:rPr>
          <w:rFonts w:ascii="David" w:hAnsi="David"/>
          <w:b/>
          <w:bCs/>
          <w:noProof w:val="0"/>
          <w:rtl/>
        </w:rPr>
        <w:t>3056/99</w:t>
      </w:r>
      <w:r>
        <w:rPr>
          <w:rFonts w:ascii="David" w:hAnsi="David"/>
          <w:noProof w:val="0"/>
          <w:rtl/>
        </w:rPr>
        <w:t xml:space="preserve"> </w:t>
      </w:r>
      <w:r>
        <w:rPr>
          <w:rFonts w:ascii="David" w:hAnsi="David"/>
          <w:b/>
          <w:bCs/>
          <w:noProof w:val="0"/>
          <w:rtl/>
        </w:rPr>
        <w:t>שטרן נ' המרכז הרפואי ע"ש חיים שיבא,</w:t>
      </w:r>
      <w:r>
        <w:rPr>
          <w:rFonts w:ascii="David" w:hAnsi="David"/>
          <w:noProof w:val="0"/>
          <w:rtl/>
        </w:rPr>
        <w:t xml:space="preserve"> פ"ד נ"ו(2) 936, 949 (2002) שבו נקבע כי: </w:t>
      </w:r>
    </w:p>
    <w:p w:rsidR="00DB218F" w:rsidRDefault="00DB218F" w:rsidP="0036596F">
      <w:pPr>
        <w:pStyle w:val="a9"/>
        <w:spacing w:after="240"/>
        <w:ind w:left="1134" w:right="1134"/>
        <w:contextualSpacing w:val="0"/>
        <w:jc w:val="both"/>
        <w:rPr>
          <w:rFonts w:ascii="David" w:hAnsi="David"/>
          <w:noProof w:val="0"/>
          <w:rtl/>
        </w:rPr>
      </w:pPr>
      <w:r>
        <w:rPr>
          <w:rFonts w:ascii="David" w:hAnsi="David"/>
          <w:noProof w:val="0"/>
          <w:rtl/>
        </w:rPr>
        <w:t>"...</w:t>
      </w:r>
      <w:r>
        <w:rPr>
          <w:rFonts w:ascii="David" w:hAnsi="David"/>
          <w:b/>
          <w:bCs/>
          <w:noProof w:val="0"/>
          <w:rtl/>
        </w:rPr>
        <w:t xml:space="preserve">משממנה בית המשפט מומחה על מנת שחוות דעתו תספק לבית המשפט נתונים מקצועיים לצורך הכרעה בדיון, סביר להניח שבית המשפט יאמץ ממצאיו של המומחה, אלא אם כן נראית סיבה בולטת לעין </w:t>
      </w:r>
      <w:r>
        <w:rPr>
          <w:rFonts w:ascii="David" w:hAnsi="David"/>
          <w:b/>
          <w:bCs/>
          <w:noProof w:val="0"/>
          <w:rtl/>
        </w:rPr>
        <w:lastRenderedPageBreak/>
        <w:t>שלא לעשות זאת... אך כאמור לא ייטה בית המשפט לסטות מחוות דעתו... בהעדר נימוקים כבדי משקל, שיניעוהו לעשות כן.</w:t>
      </w:r>
      <w:r>
        <w:rPr>
          <w:rFonts w:ascii="David" w:hAnsi="David"/>
          <w:noProof w:val="0"/>
          <w:rtl/>
        </w:rPr>
        <w:t>"</w:t>
      </w:r>
    </w:p>
    <w:p w:rsidR="00DB218F" w:rsidRDefault="00DB218F" w:rsidP="00DB218F">
      <w:pPr>
        <w:pStyle w:val="a9"/>
        <w:numPr>
          <w:ilvl w:val="0"/>
          <w:numId w:val="4"/>
        </w:numPr>
        <w:spacing w:after="240" w:line="360" w:lineRule="auto"/>
        <w:ind w:left="0" w:firstLine="0"/>
        <w:jc w:val="both"/>
        <w:rPr>
          <w:rFonts w:ascii="David" w:hAnsi="David"/>
          <w:noProof w:val="0"/>
        </w:rPr>
      </w:pPr>
      <w:r>
        <w:rPr>
          <w:rtl/>
        </w:rPr>
        <w:t xml:space="preserve">רק במקרים חריגים יפסוק בית המשפט בניגוד לחוות דעתו של מומחה שמונה על ידו, אולם ברי כי בית המשפט אינו משמש "חותמת גומי" לעמדת המומחה המקצועי והוא רואה בהמלצתו כבעלת משקל רב אך לא מכריע (ע"מ 10060/07 </w:t>
      </w:r>
      <w:r>
        <w:rPr>
          <w:b/>
          <w:bCs/>
          <w:rtl/>
        </w:rPr>
        <w:t>פלונית נ' פלוני</w:t>
      </w:r>
      <w:r>
        <w:rPr>
          <w:rtl/>
        </w:rPr>
        <w:t xml:space="preserve"> (2.10.2008); בע"מ 27/06 </w:t>
      </w:r>
      <w:r>
        <w:rPr>
          <w:b/>
          <w:bCs/>
          <w:rtl/>
        </w:rPr>
        <w:t xml:space="preserve">פלוני נ' פלוני </w:t>
      </w:r>
      <w:r>
        <w:rPr>
          <w:rtl/>
        </w:rPr>
        <w:t xml:space="preserve">(1.5.2006)). </w:t>
      </w:r>
    </w:p>
    <w:p w:rsidR="00DB218F" w:rsidRDefault="00DB218F" w:rsidP="00DB218F">
      <w:pPr>
        <w:numPr>
          <w:ilvl w:val="0"/>
          <w:numId w:val="4"/>
        </w:numPr>
        <w:spacing w:before="240" w:after="240" w:line="360" w:lineRule="auto"/>
        <w:ind w:left="0" w:firstLine="0"/>
        <w:contextualSpacing/>
        <w:jc w:val="both"/>
        <w:rPr>
          <w:rFonts w:ascii="David" w:hAnsi="David"/>
          <w:rtl/>
        </w:rPr>
      </w:pPr>
      <w:r>
        <w:rPr>
          <w:rFonts w:ascii="David" w:hAnsi="David"/>
          <w:noProof w:val="0"/>
          <w:color w:val="000000"/>
          <w:rtl/>
        </w:rPr>
        <w:t xml:space="preserve">נוסף לשמיעת עדות של מומחה רפואי מטעם בית המשפט, בית המשפט רשאי לברר טענה להעדר כשרות על ידי שמיעת עדויות, ואף לייחס משקל כבד יותר לעדויות אלו על פני עדות </w:t>
      </w:r>
      <w:r>
        <w:rPr>
          <w:rFonts w:ascii="David" w:hAnsi="David"/>
          <w:noProof w:val="0"/>
          <w:rtl/>
        </w:rPr>
        <w:t xml:space="preserve">המומחה – והכל לפי שיקול דעתו </w:t>
      </w:r>
      <w:r>
        <w:rPr>
          <w:rFonts w:ascii="David" w:hAnsi="David"/>
          <w:noProof w:val="0"/>
        </w:rPr>
        <w:t>)</w:t>
      </w:r>
      <w:r>
        <w:rPr>
          <w:rFonts w:ascii="David" w:hAnsi="David"/>
          <w:noProof w:val="0"/>
          <w:rtl/>
        </w:rPr>
        <w:t>ע"א 7506/95</w:t>
      </w:r>
      <w:r>
        <w:rPr>
          <w:rFonts w:ascii="David" w:hAnsi="David"/>
          <w:noProof w:val="0"/>
        </w:rPr>
        <w:t> </w:t>
      </w:r>
      <w:r>
        <w:rPr>
          <w:rFonts w:ascii="David" w:hAnsi="David"/>
          <w:b/>
          <w:bCs/>
          <w:noProof w:val="0"/>
          <w:color w:val="000000"/>
          <w:rtl/>
        </w:rPr>
        <w:t>שוורץ נ' בית אולפנא בית אהרון ישראל</w:t>
      </w:r>
      <w:r>
        <w:rPr>
          <w:rFonts w:ascii="David" w:hAnsi="David"/>
          <w:noProof w:val="0"/>
          <w:color w:val="000000"/>
          <w:rtl/>
        </w:rPr>
        <w:t>, פ"ד נד(2) 215 (2000</w:t>
      </w:r>
      <w:r>
        <w:rPr>
          <w:rFonts w:ascii="David" w:hAnsi="David"/>
          <w:noProof w:val="0"/>
          <w:rtl/>
        </w:rPr>
        <w:t>)</w:t>
      </w:r>
      <w:r>
        <w:rPr>
          <w:rFonts w:ascii="David" w:hAnsi="David"/>
          <w:rtl/>
          <w:lang w:eastAsia="he-IL"/>
        </w:rPr>
        <w:t xml:space="preserve">; </w:t>
      </w:r>
      <w:r>
        <w:rPr>
          <w:rFonts w:ascii="David" w:eastAsia="Calibri" w:hAnsi="David"/>
          <w:noProof w:val="0"/>
          <w:color w:val="000000" w:themeColor="text1"/>
          <w:rtl/>
        </w:rPr>
        <w:t xml:space="preserve">ע"א 1212/91 </w:t>
      </w:r>
      <w:r>
        <w:rPr>
          <w:rFonts w:ascii="David" w:eastAsia="Calibri" w:hAnsi="David"/>
          <w:b/>
          <w:bCs/>
          <w:noProof w:val="0"/>
          <w:color w:val="000000" w:themeColor="text1"/>
          <w:rtl/>
        </w:rPr>
        <w:t>קרן לב"י נ' פליציה בינשטוק</w:t>
      </w:r>
      <w:r>
        <w:rPr>
          <w:rFonts w:ascii="David" w:eastAsia="Calibri" w:hAnsi="David"/>
          <w:noProof w:val="0"/>
          <w:color w:val="000000" w:themeColor="text1"/>
          <w:rtl/>
        </w:rPr>
        <w:t>, פ"ד מח (3) 705 (1994)</w:t>
      </w:r>
      <w:r>
        <w:rPr>
          <w:rFonts w:ascii="David" w:hAnsi="David"/>
          <w:rtl/>
        </w:rPr>
        <w:t>).</w:t>
      </w:r>
    </w:p>
    <w:p w:rsidR="00DB218F" w:rsidRDefault="00DB218F" w:rsidP="00DB218F">
      <w:pPr>
        <w:pStyle w:val="a9"/>
        <w:numPr>
          <w:ilvl w:val="0"/>
          <w:numId w:val="4"/>
        </w:numPr>
        <w:spacing w:after="120" w:line="360" w:lineRule="auto"/>
        <w:ind w:left="0" w:firstLine="0"/>
        <w:jc w:val="both"/>
        <w:rPr>
          <w:rFonts w:ascii="Arial" w:hAnsi="Arial"/>
          <w:b/>
          <w:bCs/>
          <w:noProof w:val="0"/>
          <w:sz w:val="28"/>
          <w:szCs w:val="28"/>
          <w:u w:val="single"/>
        </w:rPr>
      </w:pPr>
      <w:r>
        <w:rPr>
          <w:rFonts w:ascii="Arial" w:hAnsi="Arial"/>
          <w:noProof w:val="0"/>
          <w:rtl/>
        </w:rPr>
        <w:t xml:space="preserve">בענייננו, לאחר שבחן המומחה מסמכים רפואיים שהוצגו לפניו בעניינה של המנוחה, קבע </w:t>
      </w:r>
      <w:r>
        <w:rPr>
          <w:rFonts w:ascii="Arial" w:hAnsi="Arial"/>
          <w:b/>
          <w:bCs/>
          <w:noProof w:val="0"/>
          <w:rtl/>
        </w:rPr>
        <w:t>כי במועד הרלוונטי לא הייתה המנוחה כשירה קוגניטיבית ונפשית לבצע פעולות משפטיות</w:t>
      </w:r>
      <w:r>
        <w:rPr>
          <w:rFonts w:ascii="Arial" w:hAnsi="Arial"/>
          <w:noProof w:val="0"/>
          <w:rtl/>
        </w:rPr>
        <w:t xml:space="preserve"> (עמ' 3 לחוות דעת המומחה): </w:t>
      </w:r>
    </w:p>
    <w:p w:rsidR="00DB218F" w:rsidRDefault="00DB218F" w:rsidP="00DB218F">
      <w:pPr>
        <w:pStyle w:val="a9"/>
        <w:spacing w:after="240" w:line="360" w:lineRule="auto"/>
        <w:ind w:left="283"/>
        <w:jc w:val="both"/>
        <w:rPr>
          <w:rFonts w:ascii="Arial" w:hAnsi="Arial"/>
          <w:b/>
          <w:bCs/>
          <w:noProof w:val="0"/>
          <w:sz w:val="28"/>
          <w:szCs w:val="28"/>
          <w:u w:val="single"/>
        </w:rPr>
      </w:pPr>
      <w:r>
        <w:rPr>
          <w:rFonts w:ascii="Arial" w:hAnsi="Arial"/>
        </w:rPr>
        <w:drawing>
          <wp:inline distT="0" distB="0" distL="0" distR="0">
            <wp:extent cx="5175885" cy="2338070"/>
            <wp:effectExtent l="0" t="0" r="5715" b="5080"/>
            <wp:docPr id="5" name="תמונה 5"/>
            <wp:cNvGraphicFramePr/>
            <a:graphic xmlns:a="http://schemas.openxmlformats.org/drawingml/2006/main">
              <a:graphicData uri="http://schemas.openxmlformats.org/drawingml/2006/picture">
                <pic:pic xmlns:pic="http://schemas.openxmlformats.org/drawingml/2006/picture">
                  <pic:nvPicPr>
                    <pic:cNvPr id="5" name="תמונה 5"/>
                    <pic:cNvPicPr/>
                  </pic:nvPicPr>
                  <pic:blipFill>
                    <a:blip r:embed="rId12">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172075" cy="2337435"/>
                    </a:xfrm>
                    <a:prstGeom prst="rect">
                      <a:avLst/>
                    </a:prstGeom>
                    <a:noFill/>
                    <a:ln>
                      <a:noFill/>
                    </a:ln>
                  </pic:spPr>
                </pic:pic>
              </a:graphicData>
            </a:graphic>
          </wp:inline>
        </w:drawing>
      </w:r>
    </w:p>
    <w:p w:rsidR="00DB218F" w:rsidRDefault="00DB218F" w:rsidP="00DB218F">
      <w:pPr>
        <w:pStyle w:val="a9"/>
        <w:numPr>
          <w:ilvl w:val="0"/>
          <w:numId w:val="4"/>
        </w:numPr>
        <w:spacing w:after="120" w:line="360" w:lineRule="auto"/>
        <w:ind w:left="0" w:firstLine="0"/>
        <w:jc w:val="both"/>
        <w:rPr>
          <w:rFonts w:ascii="Arial" w:hAnsi="Arial"/>
          <w:noProof w:val="0"/>
        </w:rPr>
      </w:pPr>
      <w:r>
        <w:rPr>
          <w:rFonts w:ascii="Arial" w:hAnsi="Arial"/>
          <w:noProof w:val="0"/>
          <w:rtl/>
        </w:rPr>
        <w:t xml:space="preserve">בחקירתו חזר המומחה על מסקנתו, כי </w:t>
      </w:r>
      <w:r>
        <w:rPr>
          <w:rFonts w:ascii="Arial" w:hAnsi="Arial"/>
          <w:b/>
          <w:bCs/>
          <w:noProof w:val="0"/>
          <w:rtl/>
        </w:rPr>
        <w:t>ביום 25.10.2011 המנוחה לא הייתה כשירה לחתום על הסכם המתנה</w:t>
      </w:r>
      <w:r>
        <w:rPr>
          <w:rFonts w:ascii="Arial" w:hAnsi="Arial"/>
          <w:noProof w:val="0"/>
          <w:rtl/>
        </w:rPr>
        <w:t xml:space="preserve">, ואף הדגיש כי לנוכח המסמכים שעמדו לפניו – קביעה זו היא </w:t>
      </w:r>
      <w:r>
        <w:rPr>
          <w:rFonts w:ascii="Arial" w:hAnsi="Arial"/>
          <w:b/>
          <w:bCs/>
          <w:noProof w:val="0"/>
          <w:rtl/>
        </w:rPr>
        <w:t>חד משמעית</w:t>
      </w:r>
      <w:r>
        <w:rPr>
          <w:rFonts w:ascii="Arial" w:hAnsi="Arial"/>
          <w:noProof w:val="0"/>
          <w:rtl/>
        </w:rPr>
        <w:t>. המדובר במקרה מובהק, שבו המסמכים הרפואיים מזמן אמת מלמדים, כי המנוחה לא הייתה כשירה במועד הרלוונטי (פרוטוקול הדיון מיום 9.5.2023, עמ' 42, שו' 21-15; וגם בעמ' 44, שו' 25-13):</w:t>
      </w:r>
    </w:p>
    <w:p w:rsidR="00DB218F" w:rsidRDefault="00DB218F" w:rsidP="00DB218F">
      <w:pPr>
        <w:spacing w:after="240" w:line="360" w:lineRule="auto"/>
        <w:ind w:left="283"/>
        <w:jc w:val="both"/>
        <w:rPr>
          <w:rFonts w:ascii="Arial" w:hAnsi="Arial"/>
          <w:noProof w:val="0"/>
        </w:rPr>
      </w:pPr>
      <w:r>
        <w:rPr>
          <w:rFonts w:ascii="Arial" w:hAnsi="Arial"/>
          <w:sz w:val="28"/>
          <w:szCs w:val="28"/>
        </w:rPr>
        <w:lastRenderedPageBreak/>
        <w:drawing>
          <wp:inline distT="0" distB="0" distL="0" distR="0">
            <wp:extent cx="5184775" cy="1457960"/>
            <wp:effectExtent l="0" t="0" r="0" b="8890"/>
            <wp:docPr id="6" name="תמונה 6"/>
            <wp:cNvGraphicFramePr/>
            <a:graphic xmlns:a="http://schemas.openxmlformats.org/drawingml/2006/main">
              <a:graphicData uri="http://schemas.openxmlformats.org/drawingml/2006/picture">
                <pic:pic xmlns:pic="http://schemas.openxmlformats.org/drawingml/2006/picture">
                  <pic:nvPicPr>
                    <pic:cNvPr id="6" name="תמונה 6"/>
                    <pic:cNvPicPr/>
                  </pic:nvPicPr>
                  <pic:blipFill>
                    <a:blip r:embed="rId13">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179060" cy="1457960"/>
                    </a:xfrm>
                    <a:prstGeom prst="rect">
                      <a:avLst/>
                    </a:prstGeom>
                    <a:noFill/>
                    <a:ln>
                      <a:noFill/>
                    </a:ln>
                  </pic:spPr>
                </pic:pic>
              </a:graphicData>
            </a:graphic>
          </wp:inline>
        </w:drawing>
      </w:r>
    </w:p>
    <w:p w:rsidR="00DB218F" w:rsidRDefault="00DB218F" w:rsidP="0036596F">
      <w:pPr>
        <w:pStyle w:val="a9"/>
        <w:numPr>
          <w:ilvl w:val="0"/>
          <w:numId w:val="4"/>
        </w:numPr>
        <w:spacing w:after="240" w:line="360" w:lineRule="auto"/>
        <w:ind w:left="0" w:firstLine="0"/>
        <w:jc w:val="both"/>
        <w:rPr>
          <w:rFonts w:ascii="Arial" w:hAnsi="Arial"/>
          <w:noProof w:val="0"/>
        </w:rPr>
      </w:pPr>
      <w:r>
        <w:rPr>
          <w:rFonts w:ascii="Arial" w:hAnsi="Arial"/>
          <w:noProof w:val="0"/>
          <w:rtl/>
        </w:rPr>
        <w:t>המומחה הבהיר, כי אף אם עיקר המידע על אודות מצבה של המנוחה נמסר על ידי ד</w:t>
      </w:r>
      <w:r w:rsidR="0036596F">
        <w:rPr>
          <w:rFonts w:ascii="Arial" w:hAnsi="Arial" w:hint="cs"/>
          <w:noProof w:val="0"/>
          <w:rtl/>
        </w:rPr>
        <w:t>'</w:t>
      </w:r>
      <w:r>
        <w:rPr>
          <w:rFonts w:ascii="Arial" w:hAnsi="Arial"/>
          <w:noProof w:val="0"/>
          <w:rtl/>
        </w:rPr>
        <w:t>, אשר לטענתו פעל תוך מטרה לנסות ולהשיג למנוחה סיוע מטעם הביטוח הלאומי, הרי שבכל מסמך רפואי ישנו רכיב של בדיקה של המנוחה עצמה. כך למשל, מבחן המיני מנטל שנערך למנוחה לא יכול להיות מושפע מדבריו של ד</w:t>
      </w:r>
      <w:r w:rsidR="0036596F">
        <w:rPr>
          <w:rFonts w:ascii="Arial" w:hAnsi="Arial" w:hint="cs"/>
          <w:noProof w:val="0"/>
          <w:rtl/>
        </w:rPr>
        <w:t>'</w:t>
      </w:r>
      <w:r>
        <w:rPr>
          <w:rFonts w:ascii="Arial" w:hAnsi="Arial"/>
          <w:noProof w:val="0"/>
          <w:rtl/>
        </w:rPr>
        <w:t xml:space="preserve"> אלא משקף את מצבה של המנוחה, כפי שהיה נכון למועד עריכתו (פרוטוקול הדיון מיום 9.5.2023, עמ' 42, שו' 36-27):</w:t>
      </w:r>
    </w:p>
    <w:p w:rsidR="00DB218F" w:rsidRDefault="0036596F" w:rsidP="00DB218F">
      <w:pPr>
        <w:spacing w:after="240" w:line="360" w:lineRule="auto"/>
        <w:ind w:left="141" w:firstLine="142"/>
        <w:jc w:val="both"/>
        <w:rPr>
          <w:rFonts w:ascii="Arial" w:hAnsi="Arial"/>
          <w:b/>
          <w:bCs/>
          <w:noProof w:val="0"/>
          <w:sz w:val="28"/>
          <w:szCs w:val="28"/>
          <w:u w:val="single"/>
          <w:rtl/>
        </w:rPr>
      </w:pPr>
      <w:r w:rsidRPr="0036596F">
        <w:rPr>
          <w:rFonts w:ascii="Arial" w:hAnsi="Arial"/>
          <w:sz w:val="28"/>
          <w:szCs w:val="28"/>
          <w:rtl/>
        </w:rPr>
        <w:drawing>
          <wp:inline distT="0" distB="0" distL="0" distR="0" wp14:anchorId="1B593AD0" wp14:editId="4925387D">
            <wp:extent cx="5045710" cy="1017917"/>
            <wp:effectExtent l="0" t="0" r="2540" b="0"/>
            <wp:docPr id="46" name="תמונה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81450" cy="1025127"/>
                    </a:xfrm>
                    <a:prstGeom prst="rect">
                      <a:avLst/>
                    </a:prstGeom>
                  </pic:spPr>
                </pic:pic>
              </a:graphicData>
            </a:graphic>
          </wp:inline>
        </w:drawing>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tl/>
        </w:rPr>
      </w:pPr>
      <w:r>
        <w:rPr>
          <w:rFonts w:ascii="Arial" w:hAnsi="Arial"/>
          <w:noProof w:val="0"/>
          <w:rtl/>
        </w:rPr>
        <w:t xml:space="preserve">הנה כי כן, אף לאחר שנשאל המומחה והשיב לשאלות הבהרה מטעם הנתבע ואף לאחר חקירתו, עמד המומחה איתן במסקנתו כי המנוחה לא הייתה כשירה לערוך את הסכם המתנה במועד עריכתו. </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w:rPr>
          <w:rFonts w:ascii="Arial" w:hAnsi="Arial"/>
          <w:noProof w:val="0"/>
          <w:rtl/>
        </w:rPr>
        <w:t>כאמור, לא בנקל יסטה בית המשפט מחוות דעתו של מומחה. לא מצאתי בענייננו כל טעם לסטות ממנה. מקובלת עליי דעתו של המומחה, כי המדובר במקרה מובהק שבו עולה ממסמכים רפואיים מזמן אמת, כי מצבה של המנוחה לא אפשר לה לקבל החלטה לחתום על הסכם המתנה תוך גמירות הדעת הנדרשת.</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w:rPr>
          <w:rFonts w:ascii="Arial" w:hAnsi="Arial"/>
          <w:noProof w:val="0"/>
          <w:rtl/>
        </w:rPr>
        <w:t>נוסף למסמכים הרפואיים, מסקנה זו אף נתמכת בעדויות קרוביה של המנוחה. יתרה מזו, מצאתי את העדויות שהובאו מטעם הנתבע בעניין זה כלא מהימנות והכל כפי שיתואר להלן.</w:t>
      </w:r>
    </w:p>
    <w:p w:rsidR="00DB218F" w:rsidRDefault="0036596F" w:rsidP="0036596F">
      <w:pPr>
        <w:pStyle w:val="a9"/>
        <w:spacing w:after="240" w:line="360" w:lineRule="auto"/>
        <w:ind w:left="0"/>
        <w:contextualSpacing w:val="0"/>
        <w:jc w:val="both"/>
        <w:rPr>
          <w:rFonts w:ascii="Arial" w:hAnsi="Arial"/>
          <w:b/>
          <w:bCs/>
          <w:noProof w:val="0"/>
          <w:sz w:val="28"/>
          <w:szCs w:val="28"/>
          <w:u w:val="single"/>
          <w:rtl/>
        </w:rPr>
      </w:pPr>
      <w:r>
        <w:rPr>
          <w:rFonts w:ascii="Arial" w:hAnsi="Arial" w:hint="cs"/>
          <w:b/>
          <w:bCs/>
          <w:noProof w:val="0"/>
          <w:sz w:val="28"/>
          <w:szCs w:val="28"/>
          <w:u w:val="single"/>
          <w:rtl/>
        </w:rPr>
        <w:t>פ'</w:t>
      </w:r>
      <w:r w:rsidR="00DB218F">
        <w:rPr>
          <w:rFonts w:ascii="Arial" w:hAnsi="Arial"/>
          <w:b/>
          <w:bCs/>
          <w:noProof w:val="0"/>
          <w:sz w:val="28"/>
          <w:szCs w:val="28"/>
          <w:u w:val="single"/>
          <w:rtl/>
        </w:rPr>
        <w:t xml:space="preserve"> – עד מטעם התובע</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w:rPr>
          <w:rFonts w:ascii="Arial" w:hAnsi="Arial"/>
          <w:noProof w:val="0"/>
          <w:rtl/>
        </w:rPr>
        <w:t xml:space="preserve">החל משנת 2008 התגורר </w:t>
      </w:r>
      <w:r w:rsidR="0036596F">
        <w:rPr>
          <w:rFonts w:ascii="Arial" w:hAnsi="Arial" w:hint="cs"/>
          <w:noProof w:val="0"/>
          <w:rtl/>
        </w:rPr>
        <w:t xml:space="preserve">פ' </w:t>
      </w:r>
      <w:r>
        <w:rPr>
          <w:rFonts w:ascii="Arial" w:hAnsi="Arial"/>
          <w:noProof w:val="0"/>
          <w:rtl/>
        </w:rPr>
        <w:t xml:space="preserve">יחד עם המנוחה, וזאת בשל מצבה הבריאותי (סעיפים 4-2 לתצהיר עדותו הראשית של </w:t>
      </w:r>
      <w:r w:rsidR="0036596F">
        <w:rPr>
          <w:rFonts w:ascii="Arial" w:hAnsi="Arial" w:hint="cs"/>
          <w:noProof w:val="0"/>
          <w:rtl/>
        </w:rPr>
        <w:t>פ'</w:t>
      </w:r>
      <w:r>
        <w:rPr>
          <w:rFonts w:ascii="Arial" w:hAnsi="Arial"/>
          <w:noProof w:val="0"/>
          <w:rtl/>
        </w:rPr>
        <w:t xml:space="preserve">). </w:t>
      </w:r>
    </w:p>
    <w:p w:rsidR="00DB218F" w:rsidRDefault="0036596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w:rPr>
          <w:rFonts w:ascii="Arial" w:hAnsi="Arial" w:hint="cs"/>
          <w:noProof w:val="0"/>
          <w:rtl/>
        </w:rPr>
        <w:lastRenderedPageBreak/>
        <w:t xml:space="preserve">פ' </w:t>
      </w:r>
      <w:r w:rsidR="00DB218F">
        <w:rPr>
          <w:rFonts w:ascii="Arial" w:hAnsi="Arial"/>
          <w:noProof w:val="0"/>
          <w:rtl/>
        </w:rPr>
        <w:t xml:space="preserve">הצהיר כי בשנת 2011 המנוחה הייתה נעזרת פעמיים בשבוע במטפלת מטעם הביטוח הלאומי, ובשנה האחרונה לחייה טופלה על ידי מטפלת קבועה. המנוחה סבלה ממחלת האלצהיימר ובשנת 2011 מצבה היה גרוע מאוד, סבלה מבעיות זיכרון, ירידה דרסטית בתפקודים בסיסיים, לא הייתה כשירה ולא הייתה יכולה לקבל החלטות בעצמה, ובוודאי שלא בנוגע לזכויותיה בדירה (סעיפים 5, 13-11 לתצהיר עדותו הראשית של </w:t>
      </w:r>
      <w:r>
        <w:rPr>
          <w:rFonts w:ascii="Arial" w:hAnsi="Arial" w:hint="cs"/>
          <w:noProof w:val="0"/>
          <w:rtl/>
        </w:rPr>
        <w:t>פ'</w:t>
      </w:r>
      <w:r w:rsidR="00DB218F">
        <w:rPr>
          <w:rFonts w:ascii="Arial" w:hAnsi="Arial"/>
          <w:noProof w:val="0"/>
          <w:rtl/>
        </w:rPr>
        <w:t xml:space="preserve">).  </w:t>
      </w:r>
    </w:p>
    <w:p w:rsidR="00DB218F" w:rsidRDefault="0036596F" w:rsidP="0036596F">
      <w:pPr>
        <w:pStyle w:val="a9"/>
        <w:numPr>
          <w:ilvl w:val="0"/>
          <w:numId w:val="4"/>
        </w:numPr>
        <w:spacing w:after="240" w:line="360" w:lineRule="auto"/>
        <w:ind w:left="0" w:firstLine="0"/>
        <w:jc w:val="both"/>
        <w:rPr>
          <w:rFonts w:ascii="Arial" w:hAnsi="Arial"/>
          <w:b/>
          <w:bCs/>
          <w:noProof w:val="0"/>
          <w:sz w:val="28"/>
          <w:szCs w:val="28"/>
          <w:u w:val="single"/>
        </w:rPr>
      </w:pPr>
      <w:r>
        <w:rPr>
          <w:rFonts w:ascii="Arial" w:hAnsi="Arial"/>
          <w:noProof w:val="0"/>
          <w:rtl/>
        </w:rPr>
        <w:t xml:space="preserve">גם בחקירתו העיד </w:t>
      </w:r>
      <w:r>
        <w:rPr>
          <w:rFonts w:ascii="Arial" w:hAnsi="Arial" w:hint="cs"/>
          <w:noProof w:val="0"/>
          <w:rtl/>
        </w:rPr>
        <w:t>פ'</w:t>
      </w:r>
      <w:r w:rsidR="00DB218F">
        <w:rPr>
          <w:rFonts w:ascii="Arial" w:hAnsi="Arial"/>
          <w:noProof w:val="0"/>
          <w:rtl/>
        </w:rPr>
        <w:t>, כי מצבה של המנוחה בשנת 2011 היה גרוע והוא נאלץ לסייע לה רבות, בשיתוף פעולה עם המטפלת הסיעודית ועם אשתו של ד</w:t>
      </w:r>
      <w:r>
        <w:rPr>
          <w:rFonts w:ascii="Arial" w:hAnsi="Arial" w:hint="cs"/>
          <w:noProof w:val="0"/>
          <w:rtl/>
        </w:rPr>
        <w:t>'</w:t>
      </w:r>
      <w:r w:rsidR="00DB218F">
        <w:rPr>
          <w:rFonts w:ascii="Arial" w:hAnsi="Arial"/>
          <w:noProof w:val="0"/>
          <w:rtl/>
        </w:rPr>
        <w:t xml:space="preserve"> (פרוטוקול הדיון מיום 18.2.2024, עמ' 100, שו' 29-19):</w:t>
      </w:r>
    </w:p>
    <w:p w:rsidR="00DB218F" w:rsidRDefault="0036596F" w:rsidP="00DB218F">
      <w:pPr>
        <w:spacing w:after="240" w:line="360" w:lineRule="auto"/>
        <w:ind w:left="141"/>
        <w:jc w:val="both"/>
        <w:rPr>
          <w:rFonts w:ascii="Arial" w:hAnsi="Arial"/>
          <w:b/>
          <w:bCs/>
          <w:noProof w:val="0"/>
          <w:sz w:val="28"/>
          <w:szCs w:val="28"/>
          <w:u w:val="single"/>
        </w:rPr>
      </w:pPr>
      <w:r w:rsidRPr="0036596F">
        <w:rPr>
          <w:rFonts w:ascii="Arial" w:hAnsi="Arial"/>
          <w:sz w:val="28"/>
          <w:szCs w:val="28"/>
          <w:rtl/>
        </w:rPr>
        <w:drawing>
          <wp:inline distT="0" distB="0" distL="0" distR="0" wp14:anchorId="2013A75D" wp14:editId="32BD915E">
            <wp:extent cx="4724969" cy="1578634"/>
            <wp:effectExtent l="0" t="0" r="0" b="2540"/>
            <wp:docPr id="47" name="תמונה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03436" cy="1604850"/>
                    </a:xfrm>
                    <a:prstGeom prst="rect">
                      <a:avLst/>
                    </a:prstGeom>
                  </pic:spPr>
                </pic:pic>
              </a:graphicData>
            </a:graphic>
          </wp:inline>
        </w:drawing>
      </w:r>
    </w:p>
    <w:p w:rsidR="00DB218F" w:rsidRDefault="00DB218F" w:rsidP="00DB218F">
      <w:pPr>
        <w:spacing w:after="120" w:line="360" w:lineRule="auto"/>
        <w:ind w:left="720" w:hanging="720"/>
        <w:jc w:val="both"/>
        <w:rPr>
          <w:rFonts w:ascii="Arial" w:hAnsi="Arial"/>
          <w:b/>
          <w:bCs/>
          <w:noProof w:val="0"/>
          <w:sz w:val="28"/>
          <w:szCs w:val="28"/>
          <w:u w:val="single"/>
        </w:rPr>
      </w:pPr>
      <w:r>
        <w:rPr>
          <w:rFonts w:ascii="Arial" w:hAnsi="Arial"/>
          <w:b/>
          <w:bCs/>
          <w:noProof w:val="0"/>
          <w:sz w:val="28"/>
          <w:szCs w:val="28"/>
          <w:u w:val="single"/>
          <w:rtl/>
        </w:rPr>
        <w:t>עדות התובע</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התובע הצהיר כי המנוחה סבלה ממחלת האלצהיימר ובשנת 2011 מצבה היה גרוע מאוד ולא הייתה יכולה לקבל החלטות, ובכלל זה בנוגע לזכויותיה בדירה. המנוחה הייתה במצב סיעודי, סבלה מבעיות זיכרון וירידה בתפקודים בסיסיים (קריאה, כתיבה והתמצאות), ומפגיעה ביכולת החשיבה עד כדי פגיעה קשה וחמורה בכושר השיפוט. במועד עריכת הסכם המתנה לא הייתה המנוחה כשירה לערוך אותו (סעיפים 11-9 לתצהיר עדותו הראשית של התובע).</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בחקירתו העיד התובע, כי מצבה של המנוחה החל להתדרדר באופן הדרגתי החל משנת 2008. המנוחה נעזרה ב</w:t>
      </w:r>
      <w:r w:rsidR="0036596F">
        <w:rPr>
          <w:rFonts w:ascii="Arial" w:hAnsi="Arial" w:hint="cs"/>
          <w:noProof w:val="0"/>
          <w:rtl/>
        </w:rPr>
        <w:t>-פ'</w:t>
      </w:r>
      <w:r>
        <w:rPr>
          <w:rFonts w:ascii="Arial" w:hAnsi="Arial"/>
          <w:noProof w:val="0"/>
          <w:rtl/>
        </w:rPr>
        <w:t xml:space="preserve"> שהתגורר עמה, ובשלב מסוים אף במטפלת מטעם הביטוח הלאומי (פרוטוקול הדיון מיום 18.2.2024, עמ' 120, שו' 19-9; עמ' 121, שו' 17 – עמ' 122, שו' 8; עמ' 145, שו' 2-1).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כשנשאל התובע מדוע לא ביקשו מבית המשפט למנות למנוחה אפוטרופוס מאחר שהייתה לא כשירה, השיב שאנשים יעצו לו שלא לפעול למינוי אפוטרופוס, מכיוון שהאחים ממילא מסתדרים ביניהם (פרוטוקול הדיון מיום 18.2.2024, עמ' 124, שו' 34-29). עוד הסביר כי ד</w:t>
      </w:r>
      <w:r w:rsidR="0036596F">
        <w:rPr>
          <w:rFonts w:ascii="Arial" w:hAnsi="Arial" w:hint="cs"/>
          <w:noProof w:val="0"/>
          <w:rtl/>
        </w:rPr>
        <w:t>'</w:t>
      </w:r>
      <w:r>
        <w:rPr>
          <w:rFonts w:ascii="Arial" w:hAnsi="Arial"/>
          <w:noProof w:val="0"/>
          <w:rtl/>
        </w:rPr>
        <w:t xml:space="preserve"> היה מורשה לפעול בחשבון הבנק של המנוחה והוא זה שהוציא ממנו כספים (פרוטוקול הדיון מיום 18.2.2024, עמ' 126, שו' 34-28).</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lastRenderedPageBreak/>
        <w:t>התובע העיד, כי מטפלת מטעם הביטוח הלאומי החלה לסייע למנוחה החל מסוף שנת 2011. המנוחה קיבלה את מספר שעות הסיוע המקסימלית (50 שעות בחודש). מספר חודשים קודם לכן כבר הפסיקה המנוחה ללכת להרצאות אליהן נהגה ללכת בכוחות עצמה בקרבת ביתה, מכיוון שעובדי המקום הבהירו לתובע, כי השתתפותה בהן החלה להיות בעייתית – נרדמת במהלכן ואף יוצאת והולכת (פרוטוקול הדיון מיום 18.2.2024, עמ' 121, שו' 35-30 ; עמ' 131, שו' 2 – עמ' 133, שו' 35).</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מצאתי את עדויותיהם של </w:t>
      </w:r>
      <w:r w:rsidR="0036596F">
        <w:rPr>
          <w:rFonts w:ascii="Arial" w:hAnsi="Arial" w:hint="cs"/>
          <w:noProof w:val="0"/>
          <w:rtl/>
        </w:rPr>
        <w:t>פ'</w:t>
      </w:r>
      <w:r>
        <w:rPr>
          <w:rFonts w:ascii="Arial" w:hAnsi="Arial"/>
          <w:noProof w:val="0"/>
          <w:rtl/>
        </w:rPr>
        <w:t xml:space="preserve"> והתובע בעניין זה </w:t>
      </w:r>
      <w:r>
        <w:rPr>
          <w:rFonts w:ascii="Arial" w:hAnsi="Arial"/>
          <w:b/>
          <w:bCs/>
          <w:noProof w:val="0"/>
          <w:rtl/>
        </w:rPr>
        <w:t>כמהימנות עליי</w:t>
      </w:r>
      <w:r>
        <w:rPr>
          <w:rFonts w:ascii="Arial" w:hAnsi="Arial"/>
          <w:noProof w:val="0"/>
          <w:rtl/>
        </w:rPr>
        <w:t xml:space="preserve"> ועולות בקנה אחד עם החומר הרפואי שהומצא לתיק ולחוות דעת המומחה. </w:t>
      </w:r>
    </w:p>
    <w:p w:rsidR="00DB218F" w:rsidRDefault="00DB218F" w:rsidP="0036596F">
      <w:pPr>
        <w:pStyle w:val="a9"/>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עדותו של ד</w:t>
      </w:r>
      <w:r w:rsidR="0036596F">
        <w:rPr>
          <w:rFonts w:ascii="Arial" w:hAnsi="Arial" w:hint="cs"/>
          <w:b/>
          <w:bCs/>
          <w:noProof w:val="0"/>
          <w:sz w:val="28"/>
          <w:szCs w:val="28"/>
          <w:u w:val="single"/>
          <w:rtl/>
        </w:rPr>
        <w:t>'</w:t>
      </w:r>
      <w:r>
        <w:rPr>
          <w:rFonts w:ascii="Arial" w:hAnsi="Arial"/>
          <w:b/>
          <w:bCs/>
          <w:noProof w:val="0"/>
          <w:sz w:val="28"/>
          <w:szCs w:val="28"/>
          <w:u w:val="single"/>
          <w:rtl/>
        </w:rPr>
        <w:t xml:space="preserve"> – עד מטעם הנתבע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ד</w:t>
      </w:r>
      <w:r w:rsidR="0036596F">
        <w:rPr>
          <w:rFonts w:ascii="Arial" w:hAnsi="Arial" w:hint="cs"/>
          <w:noProof w:val="0"/>
          <w:rtl/>
        </w:rPr>
        <w:t>'</w:t>
      </w:r>
      <w:r>
        <w:rPr>
          <w:rFonts w:ascii="Arial" w:hAnsi="Arial"/>
          <w:noProof w:val="0"/>
          <w:rtl/>
        </w:rPr>
        <w:t xml:space="preserve"> אומנם הצהיר, כי בכל ימי חייה הייתה המנוחה במיטבה מבחינה פיזית ושכלית ובמועד עריכת הסכם המתנה היא הייתה צלולה (סעיפים 2-1 ו-25 לתצהיר עדותו הראשית של ד</w:t>
      </w:r>
      <w:r w:rsidR="0036596F">
        <w:rPr>
          <w:rFonts w:ascii="Arial" w:hAnsi="Arial" w:hint="cs"/>
          <w:noProof w:val="0"/>
          <w:rtl/>
        </w:rPr>
        <w:t>'</w:t>
      </w:r>
      <w:r>
        <w:rPr>
          <w:rFonts w:ascii="Arial" w:hAnsi="Arial"/>
          <w:noProof w:val="0"/>
          <w:rtl/>
        </w:rPr>
        <w:t>). עם זאת, אין חולק, כי ד</w:t>
      </w:r>
      <w:r w:rsidR="0036596F">
        <w:rPr>
          <w:rFonts w:ascii="Arial" w:hAnsi="Arial" w:hint="cs"/>
          <w:noProof w:val="0"/>
          <w:rtl/>
        </w:rPr>
        <w:t>'</w:t>
      </w:r>
      <w:r>
        <w:rPr>
          <w:rFonts w:ascii="Arial" w:hAnsi="Arial"/>
          <w:noProof w:val="0"/>
          <w:rtl/>
        </w:rPr>
        <w:t xml:space="preserve"> היה זה שטיפל בבקשת המנוחה לקבלת סיוע של מטפלת מטעם הביטוח הלאומי. מטופס שמילא ד</w:t>
      </w:r>
      <w:r w:rsidR="0036596F">
        <w:rPr>
          <w:rFonts w:ascii="Arial" w:hAnsi="Arial" w:hint="cs"/>
          <w:noProof w:val="0"/>
          <w:rtl/>
        </w:rPr>
        <w:t>'</w:t>
      </w:r>
      <w:r>
        <w:rPr>
          <w:rFonts w:ascii="Arial" w:hAnsi="Arial"/>
          <w:noProof w:val="0"/>
          <w:rtl/>
        </w:rPr>
        <w:t xml:space="preserve"> לשם כך ביום 16.6.2011, עולה כי דיווח בעצמו שהמנוחה דמנטית. הנה כי כן, ארבעה חודשים קודם ל</w:t>
      </w:r>
      <w:r w:rsidR="0036596F">
        <w:rPr>
          <w:rFonts w:ascii="Arial" w:hAnsi="Arial"/>
          <w:noProof w:val="0"/>
          <w:rtl/>
        </w:rPr>
        <w:t>עריכת הסכם המתנה נראה, כי סבר ד</w:t>
      </w:r>
      <w:r w:rsidR="0036596F">
        <w:rPr>
          <w:rFonts w:ascii="Arial" w:hAnsi="Arial" w:hint="cs"/>
          <w:noProof w:val="0"/>
          <w:rtl/>
        </w:rPr>
        <w:t>'</w:t>
      </w:r>
      <w:r>
        <w:rPr>
          <w:rFonts w:ascii="Arial" w:hAnsi="Arial"/>
          <w:noProof w:val="0"/>
          <w:rtl/>
        </w:rPr>
        <w:t xml:space="preserve"> בעצמו שהמנוחה איננה כשירה וזקוקה לסיוע בהתנהלותה הבסיסית והיומיומית.  </w:t>
      </w:r>
    </w:p>
    <w:p w:rsidR="00DB218F" w:rsidRDefault="0036596F" w:rsidP="00DB218F">
      <w:pPr>
        <w:pStyle w:val="a9"/>
        <w:numPr>
          <w:ilvl w:val="0"/>
          <w:numId w:val="4"/>
        </w:numPr>
        <w:spacing w:after="240" w:line="360" w:lineRule="auto"/>
        <w:ind w:left="0" w:firstLine="0"/>
        <w:jc w:val="both"/>
        <w:rPr>
          <w:rFonts w:ascii="Arial" w:hAnsi="Arial"/>
          <w:noProof w:val="0"/>
        </w:rPr>
      </w:pPr>
      <w:r>
        <w:rPr>
          <w:rFonts w:ascii="Arial" w:hAnsi="Arial"/>
          <w:noProof w:val="0"/>
          <w:rtl/>
        </w:rPr>
        <w:t>בעדותו הסביר ד</w:t>
      </w:r>
      <w:r>
        <w:rPr>
          <w:rFonts w:ascii="Arial" w:hAnsi="Arial" w:hint="cs"/>
          <w:noProof w:val="0"/>
          <w:rtl/>
        </w:rPr>
        <w:t>'</w:t>
      </w:r>
      <w:r w:rsidR="00DB218F">
        <w:rPr>
          <w:rFonts w:ascii="Arial" w:hAnsi="Arial"/>
          <w:noProof w:val="0"/>
          <w:rtl/>
        </w:rPr>
        <w:t>, כי עשה זאת במטרה להשיג למנוחה סיוע מתוך דאגה אליה ולשם כך "</w:t>
      </w:r>
      <w:r w:rsidR="00DB218F">
        <w:rPr>
          <w:rFonts w:ascii="Arial" w:hAnsi="Arial"/>
          <w:b/>
          <w:bCs/>
          <w:noProof w:val="0"/>
          <w:rtl/>
        </w:rPr>
        <w:t>עיגל פינות</w:t>
      </w:r>
      <w:r>
        <w:rPr>
          <w:rFonts w:ascii="Arial" w:hAnsi="Arial"/>
          <w:noProof w:val="0"/>
          <w:rtl/>
        </w:rPr>
        <w:t>". ד</w:t>
      </w:r>
      <w:r>
        <w:rPr>
          <w:rFonts w:ascii="Arial" w:hAnsi="Arial" w:hint="cs"/>
          <w:noProof w:val="0"/>
          <w:rtl/>
        </w:rPr>
        <w:t>'</w:t>
      </w:r>
      <w:r w:rsidR="00DB218F">
        <w:rPr>
          <w:rFonts w:ascii="Arial" w:hAnsi="Arial"/>
          <w:noProof w:val="0"/>
          <w:rtl/>
        </w:rPr>
        <w:t xml:space="preserve"> סבור כי לשם "כיבוד אב ואם" מותר להציג מצגי שווא בפני מוסדות שונים ובכלל זה הביטוח הלאומי (פרוטוקול הדיון מיום 18.2.2024, עמ' 176, שו' 1 – עמ' 177, שו' 30; וגם בעמ' 180, שו' 33-5):</w:t>
      </w:r>
    </w:p>
    <w:p w:rsidR="00DB218F" w:rsidRDefault="0036596F" w:rsidP="00DB218F">
      <w:pPr>
        <w:pStyle w:val="a9"/>
        <w:spacing w:after="120"/>
        <w:ind w:left="283"/>
        <w:jc w:val="both"/>
        <w:rPr>
          <w:rFonts w:ascii="Arial" w:hAnsi="Arial"/>
          <w:noProof w:val="0"/>
        </w:rPr>
      </w:pPr>
      <w:r w:rsidRPr="0036596F">
        <w:rPr>
          <w:rFonts w:ascii="Arial" w:hAnsi="Arial"/>
          <w:rtl/>
        </w:rPr>
        <w:lastRenderedPageBreak/>
        <w:drawing>
          <wp:inline distT="0" distB="0" distL="0" distR="0" wp14:anchorId="075BFF1E" wp14:editId="089E38B9">
            <wp:extent cx="5053965" cy="3338422"/>
            <wp:effectExtent l="0" t="0" r="0" b="0"/>
            <wp:docPr id="48" name="תמונה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76923" cy="3353587"/>
                    </a:xfrm>
                    <a:prstGeom prst="rect">
                      <a:avLst/>
                    </a:prstGeom>
                  </pic:spPr>
                </pic:pic>
              </a:graphicData>
            </a:graphic>
          </wp:inline>
        </w:drawing>
      </w:r>
    </w:p>
    <w:p w:rsidR="00DB218F" w:rsidRDefault="00DB218F" w:rsidP="00DB218F">
      <w:pPr>
        <w:spacing w:after="120"/>
        <w:jc w:val="both"/>
        <w:rPr>
          <w:rFonts w:ascii="Arial" w:hAnsi="Arial"/>
          <w:noProof w:val="0"/>
          <w:rtl/>
        </w:rPr>
      </w:pPr>
      <w:r>
        <w:rPr>
          <w:rFonts w:ascii="Arial" w:hAnsi="Arial"/>
          <w:noProof w:val="0"/>
          <w:rtl/>
        </w:rPr>
        <w:t xml:space="preserve">             ...</w:t>
      </w:r>
    </w:p>
    <w:p w:rsidR="00DB218F" w:rsidRDefault="0036596F" w:rsidP="0036596F">
      <w:pPr>
        <w:pStyle w:val="a9"/>
        <w:spacing w:after="240" w:line="360" w:lineRule="auto"/>
        <w:ind w:left="141" w:firstLine="142"/>
        <w:jc w:val="both"/>
        <w:rPr>
          <w:rFonts w:ascii="Arial" w:hAnsi="Arial"/>
          <w:noProof w:val="0"/>
        </w:rPr>
      </w:pPr>
      <w:r w:rsidRPr="0036596F">
        <w:rPr>
          <w:rFonts w:ascii="Arial" w:hAnsi="Arial"/>
          <w:rtl/>
        </w:rPr>
        <w:drawing>
          <wp:inline distT="0" distB="0" distL="0" distR="0" wp14:anchorId="75DD7591" wp14:editId="06B632BD">
            <wp:extent cx="5036185" cy="888521"/>
            <wp:effectExtent l="0" t="0" r="0" b="6985"/>
            <wp:docPr id="49" name="תמונה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60369" cy="892788"/>
                    </a:xfrm>
                    <a:prstGeom prst="rect">
                      <a:avLst/>
                    </a:prstGeom>
                  </pic:spPr>
                </pic:pic>
              </a:graphicData>
            </a:graphic>
          </wp:inline>
        </w:drawing>
      </w:r>
    </w:p>
    <w:p w:rsidR="00DB218F" w:rsidRDefault="0036596F" w:rsidP="00DB218F">
      <w:pPr>
        <w:pStyle w:val="a9"/>
        <w:numPr>
          <w:ilvl w:val="0"/>
          <w:numId w:val="4"/>
        </w:numPr>
        <w:spacing w:after="240" w:line="360" w:lineRule="auto"/>
        <w:ind w:left="0" w:firstLine="0"/>
        <w:jc w:val="both"/>
        <w:rPr>
          <w:rFonts w:ascii="Arial" w:hAnsi="Arial"/>
          <w:noProof w:val="0"/>
        </w:rPr>
      </w:pPr>
      <w:r>
        <w:rPr>
          <w:rFonts w:ascii="Arial" w:hAnsi="Arial"/>
          <w:noProof w:val="0"/>
          <w:rtl/>
        </w:rPr>
        <w:t>מעדותו של ד</w:t>
      </w:r>
      <w:r>
        <w:rPr>
          <w:rFonts w:ascii="Arial" w:hAnsi="Arial" w:hint="cs"/>
          <w:noProof w:val="0"/>
          <w:rtl/>
        </w:rPr>
        <w:t>'</w:t>
      </w:r>
      <w:r w:rsidR="00DB218F">
        <w:rPr>
          <w:rFonts w:ascii="Arial" w:hAnsi="Arial"/>
          <w:noProof w:val="0"/>
          <w:rtl/>
        </w:rPr>
        <w:t xml:space="preserve"> מסתמן, כי נהג "</w:t>
      </w:r>
      <w:r w:rsidR="00DB218F">
        <w:rPr>
          <w:rFonts w:ascii="Arial" w:hAnsi="Arial"/>
          <w:b/>
          <w:bCs/>
          <w:noProof w:val="0"/>
          <w:rtl/>
        </w:rPr>
        <w:t>לעגל פינות</w:t>
      </w:r>
      <w:r w:rsidR="00DB218F">
        <w:rPr>
          <w:rFonts w:ascii="Arial" w:hAnsi="Arial"/>
          <w:noProof w:val="0"/>
          <w:rtl/>
        </w:rPr>
        <w:t xml:space="preserve">" בעניינים שונים ובכך יש להטיל צל כבד על מהימנותו. כשנשאל בעניין זה השיב כך (פרוטוקול הדיון מיום 18.2.2024, עמ' 177, שו' 31 – עמ' 178, שו' 34): </w:t>
      </w:r>
    </w:p>
    <w:p w:rsidR="00DB218F" w:rsidRDefault="0036596F" w:rsidP="0036596F">
      <w:pPr>
        <w:pStyle w:val="a9"/>
        <w:ind w:left="141" w:firstLine="142"/>
        <w:jc w:val="both"/>
        <w:rPr>
          <w:rFonts w:ascii="Arial" w:hAnsi="Arial"/>
          <w:noProof w:val="0"/>
          <w:rtl/>
        </w:rPr>
      </w:pPr>
      <w:r w:rsidRPr="0036596F">
        <w:rPr>
          <w:rFonts w:ascii="Arial" w:hAnsi="Arial"/>
          <w:rtl/>
        </w:rPr>
        <w:drawing>
          <wp:inline distT="0" distB="0" distL="0" distR="0" wp14:anchorId="67FFFAC2" wp14:editId="4642BCE1">
            <wp:extent cx="5018230" cy="1104181"/>
            <wp:effectExtent l="0" t="0" r="0" b="1270"/>
            <wp:docPr id="50" name="תמונה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68761" cy="1115300"/>
                    </a:xfrm>
                    <a:prstGeom prst="rect">
                      <a:avLst/>
                    </a:prstGeom>
                  </pic:spPr>
                </pic:pic>
              </a:graphicData>
            </a:graphic>
          </wp:inline>
        </w:drawing>
      </w:r>
    </w:p>
    <w:p w:rsidR="0036596F" w:rsidRDefault="0036596F" w:rsidP="00DB218F">
      <w:pPr>
        <w:pStyle w:val="a9"/>
        <w:spacing w:after="240"/>
        <w:ind w:left="141"/>
        <w:jc w:val="both"/>
        <w:rPr>
          <w:rFonts w:ascii="Arial" w:hAnsi="Arial"/>
          <w:noProof w:val="0"/>
          <w:rtl/>
        </w:rPr>
      </w:pPr>
      <w:r w:rsidRPr="0036596F">
        <w:rPr>
          <w:rFonts w:ascii="Arial" w:hAnsi="Arial"/>
          <w:rtl/>
        </w:rPr>
        <w:lastRenderedPageBreak/>
        <w:drawing>
          <wp:inline distT="0" distB="0" distL="0" distR="0" wp14:anchorId="1BB5C780" wp14:editId="10F679A6">
            <wp:extent cx="4846955" cy="2225615"/>
            <wp:effectExtent l="0" t="0" r="0" b="3810"/>
            <wp:docPr id="51" name="תמונה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57328" cy="2230378"/>
                    </a:xfrm>
                    <a:prstGeom prst="rect">
                      <a:avLst/>
                    </a:prstGeom>
                  </pic:spPr>
                </pic:pic>
              </a:graphicData>
            </a:graphic>
          </wp:inline>
        </w:drawing>
      </w:r>
      <w:r w:rsidR="00DB218F">
        <w:rPr>
          <w:rFonts w:ascii="Arial" w:hAnsi="Arial"/>
          <w:noProof w:val="0"/>
          <w:rtl/>
        </w:rPr>
        <w:t xml:space="preserve">             </w:t>
      </w:r>
    </w:p>
    <w:p w:rsidR="00DB218F" w:rsidRDefault="00DB218F" w:rsidP="00DB218F">
      <w:pPr>
        <w:pStyle w:val="a9"/>
        <w:spacing w:after="240"/>
        <w:ind w:left="141"/>
        <w:jc w:val="both"/>
        <w:rPr>
          <w:rFonts w:ascii="Arial" w:hAnsi="Arial"/>
          <w:noProof w:val="0"/>
          <w:rtl/>
        </w:rPr>
      </w:pPr>
      <w:r>
        <w:rPr>
          <w:rFonts w:ascii="Arial" w:hAnsi="Arial"/>
          <w:noProof w:val="0"/>
          <w:rtl/>
        </w:rPr>
        <w:t>...</w:t>
      </w:r>
    </w:p>
    <w:p w:rsidR="0036596F" w:rsidRDefault="0036596F" w:rsidP="0036596F">
      <w:pPr>
        <w:pStyle w:val="a9"/>
        <w:spacing w:after="240"/>
        <w:ind w:left="142"/>
        <w:contextualSpacing w:val="0"/>
        <w:jc w:val="both"/>
        <w:rPr>
          <w:rFonts w:ascii="Arial" w:hAnsi="Arial"/>
          <w:noProof w:val="0"/>
          <w:rtl/>
        </w:rPr>
      </w:pPr>
      <w:r w:rsidRPr="0036596F">
        <w:rPr>
          <w:rFonts w:ascii="Arial" w:hAnsi="Arial"/>
          <w:rtl/>
        </w:rPr>
        <w:drawing>
          <wp:inline distT="0" distB="0" distL="0" distR="0" wp14:anchorId="3A49ABA3" wp14:editId="39517A41">
            <wp:extent cx="4853305" cy="1984076"/>
            <wp:effectExtent l="0" t="0" r="4445" b="0"/>
            <wp:docPr id="52" name="תמונה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66866" cy="1989620"/>
                    </a:xfrm>
                    <a:prstGeom prst="rect">
                      <a:avLst/>
                    </a:prstGeom>
                  </pic:spPr>
                </pic:pic>
              </a:graphicData>
            </a:graphic>
          </wp:inline>
        </w:drawing>
      </w:r>
    </w:p>
    <w:p w:rsidR="00DB218F" w:rsidRDefault="00DB218F" w:rsidP="0036596F">
      <w:pPr>
        <w:pStyle w:val="a9"/>
        <w:numPr>
          <w:ilvl w:val="0"/>
          <w:numId w:val="4"/>
        </w:numPr>
        <w:spacing w:after="240" w:line="360" w:lineRule="auto"/>
        <w:ind w:left="0" w:firstLine="0"/>
        <w:contextualSpacing w:val="0"/>
        <w:jc w:val="both"/>
        <w:rPr>
          <w:rFonts w:ascii="Arial" w:hAnsi="Arial"/>
          <w:noProof w:val="0"/>
          <w:rtl/>
        </w:rPr>
      </w:pPr>
      <w:r>
        <w:rPr>
          <w:rFonts w:ascii="Arial" w:hAnsi="Arial"/>
          <w:noProof w:val="0"/>
          <w:rtl/>
        </w:rPr>
        <w:t>בנסיבות העניין, לא מצאתי את הצהרתו של ד</w:t>
      </w:r>
      <w:r w:rsidR="0036596F">
        <w:rPr>
          <w:rFonts w:ascii="Arial" w:hAnsi="Arial" w:hint="cs"/>
          <w:noProof w:val="0"/>
          <w:rtl/>
        </w:rPr>
        <w:t>'</w:t>
      </w:r>
      <w:r>
        <w:rPr>
          <w:rFonts w:ascii="Arial" w:hAnsi="Arial"/>
          <w:noProof w:val="0"/>
          <w:rtl/>
        </w:rPr>
        <w:t xml:space="preserve"> בעניין מצבה של המנוחה במועד הרלוונטי כמהימנה עליי, והיא אף אינה עולה בקנה אחד עם יתר הראיות כפי שהוצגו לעיל.</w:t>
      </w:r>
    </w:p>
    <w:p w:rsidR="00DB218F" w:rsidRDefault="00DB218F" w:rsidP="0036596F">
      <w:pPr>
        <w:pStyle w:val="a9"/>
        <w:spacing w:after="12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עדותו של הנתבע</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הנתבע הצהיר כי למנוחה הייתה אומנם מטפלת, אך היא הייתה כשירה לכרות את הסכם המתנה (סעיפים 12 ו-30 לתצהיר עדותו הראשית של הנתבע). המנוחה רצתה להעניק לו את הזכויות בדירה, כי הוא ואביו היחידים שלא קיבלו חלק בנכסיה, וזאת בניגוד לשאר ילדיה – התובע ו</w:t>
      </w:r>
      <w:r w:rsidR="0036596F">
        <w:rPr>
          <w:rFonts w:ascii="Arial" w:hAnsi="Arial" w:hint="cs"/>
          <w:noProof w:val="0"/>
          <w:rtl/>
        </w:rPr>
        <w:t>-פ'</w:t>
      </w:r>
      <w:r>
        <w:rPr>
          <w:rFonts w:ascii="Arial" w:hAnsi="Arial"/>
          <w:noProof w:val="0"/>
          <w:rtl/>
        </w:rPr>
        <w:t>, אשר נטלו לעצמם חלק ניכר מרכושה (סעיף 17 לתצהיר עדותו הראשית של הנתבע).</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עם זאת, הנתבע העיד שהסכם המתנה נחתם על ידו במועד מאוחר יותר במספר ימים לחתימת המנוחה. הוא לא נכח במועד חתימתה של המנוחה ולא שוחח עמה על אודות הסכם המתנה. הנתבע העיד כי היה זה אביו שסיפר לו שהמנוחה רוצה לתת לו את הדירה במתנה, וכי עליו לחתום על הסכם המתנה לשם כך (פרוטוקול הדיון מיום 18.2.2024, עמ' 204, שו' 1 – עמ' 205, שו' 2). הנתבע לשיטתו, לא ידע על כך שהמנוחה רצתה למעשה לתת את הדירה לאביו, אך משיקולי מס הסכם </w:t>
      </w:r>
      <w:r>
        <w:rPr>
          <w:rFonts w:ascii="Arial" w:hAnsi="Arial"/>
          <w:noProof w:val="0"/>
          <w:rtl/>
        </w:rPr>
        <w:lastRenderedPageBreak/>
        <w:t>המתנה נערך איתו בלבד. אביו, לא שיתף אותו בעניין זה (פרוטוקול הדיון מיום 18.2.2024, עמ' 204, שו' 7-1; עמ' 205, שו' 31-22).</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הנה כי כן, מן האמור עולה, כי הנתבע לא ידע על אודות רצונה "האמיתי" של המנוחה לתת לו את הדירה ישירות ממנה אלא מדבריו של אביו בלבד (פרוטוקול הדיון מיום 18.2.2024, עמ' 214, שו' 25-5). </w:t>
      </w:r>
    </w:p>
    <w:p w:rsidR="00DB218F" w:rsidRDefault="00DB218F" w:rsidP="0036596F">
      <w:pPr>
        <w:pStyle w:val="a9"/>
        <w:numPr>
          <w:ilvl w:val="0"/>
          <w:numId w:val="4"/>
        </w:numPr>
        <w:spacing w:after="120" w:line="360" w:lineRule="auto"/>
        <w:ind w:left="0" w:firstLine="0"/>
        <w:contextualSpacing w:val="0"/>
        <w:jc w:val="both"/>
        <w:rPr>
          <w:rFonts w:ascii="Arial" w:hAnsi="Arial"/>
          <w:noProof w:val="0"/>
        </w:rPr>
      </w:pPr>
      <w:r>
        <w:rPr>
          <w:rFonts w:ascii="Arial" w:hAnsi="Arial"/>
          <w:noProof w:val="0"/>
          <w:rtl/>
        </w:rPr>
        <w:t>הנתבע העיד שלא שוחח עם המנוחה על הדירה, גם לא בשביל לומר לה תודה, כי אינו מאמין שצריך לדבר על "ירושות בחיים". משלא מדובר בירושה אלא במתנה, נשאל הנתבע על ידי בית המשפט, מתי לשיטתו אמור היה לקבל את הדירה – לשאלה זו השיב "</w:t>
      </w:r>
      <w:r>
        <w:rPr>
          <w:rFonts w:ascii="Arial" w:hAnsi="Arial"/>
          <w:b/>
          <w:bCs/>
          <w:noProof w:val="0"/>
          <w:rtl/>
        </w:rPr>
        <w:t>לא יודע</w:t>
      </w:r>
      <w:r>
        <w:rPr>
          <w:rFonts w:ascii="Arial" w:hAnsi="Arial"/>
          <w:noProof w:val="0"/>
          <w:rtl/>
        </w:rPr>
        <w:t>" (פרוטוקול הדיון מיום 18.2.2024, עמ' 215, שו' 32-8):</w:t>
      </w:r>
    </w:p>
    <w:p w:rsidR="00DB218F" w:rsidRDefault="0036596F" w:rsidP="0036596F">
      <w:pPr>
        <w:pStyle w:val="a9"/>
        <w:spacing w:after="240" w:line="360" w:lineRule="auto"/>
        <w:ind w:left="142" w:firstLine="567"/>
        <w:contextualSpacing w:val="0"/>
        <w:jc w:val="both"/>
        <w:rPr>
          <w:rFonts w:ascii="Arial" w:hAnsi="Arial"/>
          <w:noProof w:val="0"/>
        </w:rPr>
      </w:pPr>
      <w:r w:rsidRPr="0036596F">
        <w:rPr>
          <w:rFonts w:ascii="Arial" w:hAnsi="Arial"/>
          <w:rtl/>
        </w:rPr>
        <w:drawing>
          <wp:inline distT="0" distB="0" distL="0" distR="0" wp14:anchorId="5A7EBDFB" wp14:editId="5542A312">
            <wp:extent cx="4655724" cy="4726825"/>
            <wp:effectExtent l="0" t="0" r="0" b="0"/>
            <wp:docPr id="53" name="תמונה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15530" cy="4787544"/>
                    </a:xfrm>
                    <a:prstGeom prst="rect">
                      <a:avLst/>
                    </a:prstGeom>
                  </pic:spPr>
                </pic:pic>
              </a:graphicData>
            </a:graphic>
          </wp:inline>
        </w:drawing>
      </w:r>
    </w:p>
    <w:p w:rsidR="00DB218F" w:rsidRDefault="00DB218F" w:rsidP="0036596F">
      <w:pPr>
        <w:pStyle w:val="a9"/>
        <w:numPr>
          <w:ilvl w:val="0"/>
          <w:numId w:val="4"/>
        </w:numPr>
        <w:spacing w:after="120" w:line="360" w:lineRule="auto"/>
        <w:ind w:left="0" w:firstLine="0"/>
        <w:contextualSpacing w:val="0"/>
        <w:jc w:val="both"/>
        <w:rPr>
          <w:rFonts w:ascii="Arial" w:hAnsi="Arial"/>
          <w:noProof w:val="0"/>
        </w:rPr>
      </w:pPr>
      <w:r>
        <w:rPr>
          <w:rFonts w:ascii="Arial" w:hAnsi="Arial"/>
          <w:noProof w:val="0"/>
          <w:rtl/>
        </w:rPr>
        <w:lastRenderedPageBreak/>
        <w:t>ע</w:t>
      </w:r>
      <w:r w:rsidR="0036596F">
        <w:rPr>
          <w:rFonts w:ascii="Arial" w:hAnsi="Arial"/>
          <w:noProof w:val="0"/>
          <w:rtl/>
        </w:rPr>
        <w:t>ם זאת, במהלך חקירתו של עו"ד ר</w:t>
      </w:r>
      <w:r w:rsidR="0036596F">
        <w:rPr>
          <w:rFonts w:ascii="Arial" w:hAnsi="Arial" w:hint="cs"/>
          <w:noProof w:val="0"/>
          <w:rtl/>
        </w:rPr>
        <w:t>'</w:t>
      </w:r>
      <w:r>
        <w:rPr>
          <w:rFonts w:ascii="Arial" w:hAnsi="Arial"/>
          <w:noProof w:val="0"/>
          <w:rtl/>
        </w:rPr>
        <w:t xml:space="preserve"> שהתקיימה בדיון ביום 21.5.2024 שינה הנתבע את גרסתו, וציין שדווקא כן דיבר עם המנוחה, והיא אף נתנה לו הוראות מה לעשות בכספים שיתקבלו תמורת הדירה כשתימכר (פרוטוקול הדיון מיום 21.5.2024, עמ' 228, שו' 33-29):</w:t>
      </w:r>
    </w:p>
    <w:p w:rsidR="00DB218F" w:rsidRDefault="0036596F" w:rsidP="0036596F">
      <w:pPr>
        <w:pStyle w:val="a9"/>
        <w:spacing w:after="240" w:line="360" w:lineRule="auto"/>
        <w:ind w:left="142"/>
        <w:contextualSpacing w:val="0"/>
        <w:jc w:val="both"/>
        <w:rPr>
          <w:rFonts w:ascii="Arial" w:hAnsi="Arial"/>
          <w:noProof w:val="0"/>
        </w:rPr>
      </w:pPr>
      <w:r w:rsidRPr="0036596F">
        <w:rPr>
          <w:rFonts w:ascii="Arial" w:hAnsi="Arial"/>
          <w:rtl/>
        </w:rPr>
        <w:drawing>
          <wp:inline distT="0" distB="0" distL="0" distR="0" wp14:anchorId="7BBD0349" wp14:editId="3545B802">
            <wp:extent cx="5100320" cy="1285336"/>
            <wp:effectExtent l="0" t="0" r="5080" b="0"/>
            <wp:docPr id="54" name="תמונה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15896" cy="1289261"/>
                    </a:xfrm>
                    <a:prstGeom prst="rect">
                      <a:avLst/>
                    </a:prstGeom>
                  </pic:spPr>
                </pic:pic>
              </a:graphicData>
            </a:graphic>
          </wp:inline>
        </w:drawing>
      </w:r>
    </w:p>
    <w:p w:rsidR="00DB218F" w:rsidRDefault="00DB218F" w:rsidP="00DB218F">
      <w:pPr>
        <w:pStyle w:val="a9"/>
        <w:numPr>
          <w:ilvl w:val="0"/>
          <w:numId w:val="4"/>
        </w:numPr>
        <w:spacing w:after="240" w:line="360" w:lineRule="auto"/>
        <w:ind w:left="0" w:firstLine="0"/>
        <w:jc w:val="both"/>
        <w:rPr>
          <w:rFonts w:ascii="Arial" w:hAnsi="Arial"/>
          <w:noProof w:val="0"/>
          <w:rtl/>
        </w:rPr>
      </w:pPr>
      <w:r>
        <w:rPr>
          <w:rFonts w:ascii="Arial" w:hAnsi="Arial"/>
          <w:noProof w:val="0"/>
          <w:rtl/>
        </w:rPr>
        <w:t xml:space="preserve">לנוכח כל האמור, מצאתי את עדותו של הנתבע בעניין כשירותה של המנוחה ורצונה הברור להעניק דווקא לו את הזכויות בדירה מתוך אהבתה אליו כלא מהימנה. </w:t>
      </w:r>
    </w:p>
    <w:p w:rsidR="00DB218F" w:rsidRDefault="00DB218F" w:rsidP="0036596F">
      <w:pPr>
        <w:spacing w:after="120" w:line="360" w:lineRule="auto"/>
        <w:jc w:val="both"/>
        <w:rPr>
          <w:rFonts w:ascii="Arial" w:hAnsi="Arial"/>
          <w:b/>
          <w:bCs/>
          <w:noProof w:val="0"/>
          <w:sz w:val="28"/>
          <w:szCs w:val="28"/>
          <w:u w:val="single"/>
        </w:rPr>
      </w:pPr>
      <w:r>
        <w:rPr>
          <w:rFonts w:ascii="Arial" w:hAnsi="Arial"/>
          <w:b/>
          <w:bCs/>
          <w:noProof w:val="0"/>
          <w:sz w:val="28"/>
          <w:szCs w:val="28"/>
          <w:u w:val="single"/>
          <w:rtl/>
        </w:rPr>
        <w:t>עדותו של עו"ד ר</w:t>
      </w:r>
      <w:r w:rsidR="0036596F">
        <w:rPr>
          <w:rFonts w:ascii="Arial" w:hAnsi="Arial" w:hint="cs"/>
          <w:b/>
          <w:bCs/>
          <w:noProof w:val="0"/>
          <w:sz w:val="28"/>
          <w:szCs w:val="28"/>
          <w:u w:val="single"/>
          <w:rtl/>
        </w:rPr>
        <w:t>'</w:t>
      </w:r>
      <w:r>
        <w:rPr>
          <w:rFonts w:ascii="Arial" w:hAnsi="Arial"/>
          <w:b/>
          <w:bCs/>
          <w:noProof w:val="0"/>
          <w:sz w:val="28"/>
          <w:szCs w:val="28"/>
          <w:u w:val="single"/>
          <w:rtl/>
        </w:rPr>
        <w:t xml:space="preserve"> – עד מטעם הנתבע</w:t>
      </w:r>
    </w:p>
    <w:p w:rsidR="00DB218F" w:rsidRDefault="0036596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כאמור, עו"ד ר</w:t>
      </w:r>
      <w:r>
        <w:rPr>
          <w:rFonts w:ascii="Arial" w:hAnsi="Arial" w:hint="cs"/>
          <w:noProof w:val="0"/>
          <w:rtl/>
        </w:rPr>
        <w:t>'</w:t>
      </w:r>
      <w:r w:rsidR="00DB218F">
        <w:rPr>
          <w:rFonts w:ascii="Arial" w:hAnsi="Arial"/>
          <w:noProof w:val="0"/>
          <w:rtl/>
        </w:rPr>
        <w:t xml:space="preserve"> הוא שערך את הסכם המתנה בין הנתבע לבין המנוחה. עו"ד ר</w:t>
      </w:r>
      <w:r>
        <w:rPr>
          <w:rFonts w:ascii="Arial" w:hAnsi="Arial" w:hint="cs"/>
          <w:noProof w:val="0"/>
          <w:rtl/>
        </w:rPr>
        <w:t>'</w:t>
      </w:r>
      <w:r w:rsidR="00DB218F">
        <w:rPr>
          <w:rFonts w:ascii="Arial" w:hAnsi="Arial"/>
          <w:noProof w:val="0"/>
          <w:rtl/>
        </w:rPr>
        <w:t xml:space="preserve"> העיד כי החל לטפל בנושא של הסכם המתנה בעקבות פנייה שנעשתה אליו על ידי ד</w:t>
      </w:r>
      <w:r>
        <w:rPr>
          <w:rFonts w:ascii="Arial" w:hAnsi="Arial" w:hint="cs"/>
          <w:noProof w:val="0"/>
          <w:rtl/>
        </w:rPr>
        <w:t>'</w:t>
      </w:r>
      <w:r w:rsidR="00DB218F">
        <w:rPr>
          <w:rFonts w:ascii="Arial" w:hAnsi="Arial"/>
          <w:noProof w:val="0"/>
          <w:rtl/>
        </w:rPr>
        <w:t>, וכי קיימת ביניהם היכרות של שנים אשר במהלכן שימוש כעורך דינו בעניינים שונים (פרוטוקול הדיון מיום 21.5.2024, עמ' 226, שו' 9-4). עו"ד ר</w:t>
      </w:r>
      <w:r>
        <w:rPr>
          <w:rFonts w:ascii="Arial" w:hAnsi="Arial" w:hint="cs"/>
          <w:noProof w:val="0"/>
          <w:rtl/>
        </w:rPr>
        <w:t>'</w:t>
      </w:r>
      <w:r w:rsidR="00DB218F">
        <w:rPr>
          <w:rFonts w:ascii="Arial" w:hAnsi="Arial"/>
          <w:noProof w:val="0"/>
          <w:rtl/>
        </w:rPr>
        <w:t xml:space="preserve"> הבהיר כי "</w:t>
      </w:r>
      <w:r w:rsidR="00DB218F">
        <w:rPr>
          <w:rFonts w:ascii="Arial" w:hAnsi="Arial"/>
          <w:b/>
          <w:bCs/>
          <w:noProof w:val="0"/>
          <w:rtl/>
        </w:rPr>
        <w:t>הרוח הפעילה</w:t>
      </w:r>
      <w:r w:rsidR="00DB218F">
        <w:rPr>
          <w:rFonts w:ascii="Arial" w:hAnsi="Arial"/>
          <w:noProof w:val="0"/>
          <w:rtl/>
        </w:rPr>
        <w:t>" בעניין עריכת הסכם המתנה היה ד</w:t>
      </w:r>
      <w:r>
        <w:rPr>
          <w:rFonts w:ascii="Arial" w:hAnsi="Arial" w:hint="cs"/>
          <w:noProof w:val="0"/>
          <w:rtl/>
        </w:rPr>
        <w:t>'</w:t>
      </w:r>
      <w:r w:rsidR="00DB218F">
        <w:rPr>
          <w:rFonts w:ascii="Arial" w:hAnsi="Arial"/>
          <w:noProof w:val="0"/>
          <w:rtl/>
        </w:rPr>
        <w:t xml:space="preserve"> והוא שיזם את עריכתו (פרוטוקול הדיון מיום 21.5.2024, עמ' 263, שו' 16-11).</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עו"ד ר</w:t>
      </w:r>
      <w:r w:rsidR="0036596F">
        <w:rPr>
          <w:rFonts w:ascii="Arial" w:hAnsi="Arial" w:hint="cs"/>
          <w:noProof w:val="0"/>
          <w:rtl/>
        </w:rPr>
        <w:t>'</w:t>
      </w:r>
      <w:r>
        <w:rPr>
          <w:rFonts w:ascii="Arial" w:hAnsi="Arial"/>
          <w:noProof w:val="0"/>
          <w:rtl/>
        </w:rPr>
        <w:t xml:space="preserve"> העיד כי, לאחר שקיים עם המנוחה שיחה טלפונית, הוא הגיע לביתה לצורך החתמתה על הסכם המתנה, שהיה כבר ערוך ומוכן. הוא שהה בביתה כחצי שעה. כשנשאל על משך הזמן אשר שהה בבית המנוחה – הסביר שכאשר הוא מחתים אנשים על הסכמים הוא מקפיד לערוך תרשומות באותו מועד (פרוטוקול הדיון מיום 21.5.2024, עמ' 227, שו' 7-4). עו"ד ר</w:t>
      </w:r>
      <w:r w:rsidR="0036596F">
        <w:rPr>
          <w:rFonts w:ascii="Arial" w:hAnsi="Arial" w:hint="cs"/>
          <w:noProof w:val="0"/>
          <w:rtl/>
        </w:rPr>
        <w:t>'</w:t>
      </w:r>
      <w:r>
        <w:rPr>
          <w:rFonts w:ascii="Arial" w:hAnsi="Arial"/>
          <w:noProof w:val="0"/>
          <w:rtl/>
        </w:rPr>
        <w:t xml:space="preserve"> תיאר את מעמד החתימה על ההסכם והפעולות שנעשו על ידו במהלך הפגישה כך (פרוטוקול הדיון מיום 21.5.2024, עמ' 249, שו' 9-4): </w:t>
      </w:r>
    </w:p>
    <w:p w:rsidR="00DB218F" w:rsidRDefault="0036596F" w:rsidP="00DB218F">
      <w:pPr>
        <w:pStyle w:val="a9"/>
        <w:spacing w:after="240" w:line="360" w:lineRule="auto"/>
        <w:ind w:left="141"/>
        <w:jc w:val="both"/>
        <w:rPr>
          <w:rFonts w:ascii="Arial" w:hAnsi="Arial"/>
          <w:noProof w:val="0"/>
        </w:rPr>
      </w:pPr>
      <w:r w:rsidRPr="0036596F">
        <w:rPr>
          <w:rFonts w:ascii="Arial" w:hAnsi="Arial"/>
          <w:rtl/>
        </w:rPr>
        <w:drawing>
          <wp:inline distT="0" distB="0" distL="0" distR="0" wp14:anchorId="6697A070" wp14:editId="696A8523">
            <wp:extent cx="5236773" cy="1469390"/>
            <wp:effectExtent l="0" t="0" r="2540" b="0"/>
            <wp:docPr id="55" name="תמונה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39663" cy="1470201"/>
                    </a:xfrm>
                    <a:prstGeom prst="rect">
                      <a:avLst/>
                    </a:prstGeom>
                  </pic:spPr>
                </pic:pic>
              </a:graphicData>
            </a:graphic>
          </wp:inline>
        </w:drawing>
      </w:r>
    </w:p>
    <w:p w:rsidR="00DB218F" w:rsidRDefault="00DB218F" w:rsidP="0036596F">
      <w:pPr>
        <w:pStyle w:val="a9"/>
        <w:spacing w:after="120" w:line="360" w:lineRule="auto"/>
        <w:ind w:left="0" w:firstLine="720"/>
        <w:contextualSpacing w:val="0"/>
        <w:jc w:val="both"/>
        <w:rPr>
          <w:rFonts w:ascii="Arial" w:hAnsi="Arial"/>
          <w:noProof w:val="0"/>
        </w:rPr>
      </w:pPr>
      <w:r>
        <w:rPr>
          <w:rFonts w:ascii="Arial" w:hAnsi="Arial"/>
          <w:noProof w:val="0"/>
          <w:rtl/>
        </w:rPr>
        <w:lastRenderedPageBreak/>
        <w:t>עו"ד ר</w:t>
      </w:r>
      <w:r w:rsidR="0036596F">
        <w:rPr>
          <w:rFonts w:ascii="Arial" w:hAnsi="Arial" w:hint="cs"/>
          <w:noProof w:val="0"/>
          <w:rtl/>
        </w:rPr>
        <w:t>'</w:t>
      </w:r>
      <w:r>
        <w:rPr>
          <w:rFonts w:ascii="Arial" w:hAnsi="Arial"/>
          <w:noProof w:val="0"/>
          <w:rtl/>
        </w:rPr>
        <w:t xml:space="preserve"> הציג את העתקי התרשומות שערך במועד חתימת המנוחה על הסכם המתנה ותוכנן פורט בפרוטוקול הדיון כך (פרוטוקול הדיון מיום 21.5.2024, עמ' 227, שו' 15-6; עמ' 230, שו' 19 – עמ' 232, שו' 19):</w:t>
      </w:r>
    </w:p>
    <w:p w:rsidR="00DB218F" w:rsidRDefault="00DB218F" w:rsidP="0036596F">
      <w:pPr>
        <w:pStyle w:val="a9"/>
        <w:spacing w:after="240"/>
        <w:ind w:left="1134" w:right="1134"/>
        <w:contextualSpacing w:val="0"/>
        <w:jc w:val="both"/>
        <w:rPr>
          <w:rFonts w:ascii="Arial" w:hAnsi="Arial"/>
          <w:b/>
          <w:bCs/>
          <w:noProof w:val="0"/>
        </w:rPr>
      </w:pPr>
      <w:r>
        <w:rPr>
          <w:rFonts w:ascii="Arial" w:hAnsi="Arial"/>
          <w:b/>
          <w:bCs/>
          <w:noProof w:val="0"/>
          <w:rtl/>
        </w:rPr>
        <w:t>"שאלתי את השיקולים במכירה... השיבה ש</w:t>
      </w:r>
      <w:r w:rsidR="0036596F">
        <w:rPr>
          <w:rFonts w:ascii="Arial" w:hAnsi="Arial" w:hint="cs"/>
          <w:b/>
          <w:bCs/>
          <w:noProof w:val="0"/>
          <w:rtl/>
        </w:rPr>
        <w:t>-י.פ.</w:t>
      </w:r>
      <w:r>
        <w:rPr>
          <w:rFonts w:ascii="Arial" w:hAnsi="Arial"/>
          <w:b/>
          <w:bCs/>
          <w:noProof w:val="0"/>
          <w:rtl/>
        </w:rPr>
        <w:t xml:space="preserve"> לקח את כל הכסף שלה. כשביקשתי שתפרט, היא סיפרה על מגרש </w:t>
      </w:r>
      <w:r w:rsidR="0036596F">
        <w:rPr>
          <w:rFonts w:ascii="Arial" w:hAnsi="Arial" w:hint="cs"/>
          <w:b/>
          <w:bCs/>
          <w:noProof w:val="0"/>
          <w:rtl/>
        </w:rPr>
        <w:t>ב...</w:t>
      </w:r>
      <w:r>
        <w:rPr>
          <w:rFonts w:ascii="Arial" w:hAnsi="Arial"/>
          <w:b/>
          <w:bCs/>
          <w:noProof w:val="0"/>
          <w:rtl/>
        </w:rPr>
        <w:t xml:space="preserve"> ועל </w:t>
      </w:r>
      <w:r w:rsidR="0036596F">
        <w:rPr>
          <w:rFonts w:ascii="Arial" w:hAnsi="Arial" w:hint="cs"/>
          <w:b/>
          <w:bCs/>
          <w:noProof w:val="0"/>
          <w:rtl/>
        </w:rPr>
        <w:t xml:space="preserve">... </w:t>
      </w:r>
      <w:r>
        <w:rPr>
          <w:rFonts w:ascii="Arial" w:hAnsi="Arial"/>
          <w:b/>
          <w:bCs/>
          <w:noProof w:val="0"/>
          <w:rtl/>
        </w:rPr>
        <w:t>. היא דיברה על העיקול שהי</w:t>
      </w:r>
      <w:r w:rsidR="0036596F">
        <w:rPr>
          <w:rFonts w:ascii="Arial" w:hAnsi="Arial"/>
          <w:b/>
          <w:bCs/>
          <w:noProof w:val="0"/>
          <w:rtl/>
        </w:rPr>
        <w:t>ה רשום בעירייה... סיפרה לי ש</w:t>
      </w:r>
      <w:r w:rsidR="0036596F">
        <w:rPr>
          <w:rFonts w:ascii="Arial" w:hAnsi="Arial" w:hint="cs"/>
          <w:b/>
          <w:bCs/>
          <w:noProof w:val="0"/>
          <w:rtl/>
        </w:rPr>
        <w:t>-</w:t>
      </w:r>
      <w:r w:rsidR="0036596F">
        <w:rPr>
          <w:rFonts w:ascii="Arial" w:hAnsi="Arial"/>
          <w:b/>
          <w:bCs/>
          <w:noProof w:val="0"/>
          <w:rtl/>
        </w:rPr>
        <w:t>ד</w:t>
      </w:r>
      <w:r w:rsidR="0036596F">
        <w:rPr>
          <w:rFonts w:ascii="Arial" w:hAnsi="Arial" w:hint="cs"/>
          <w:b/>
          <w:bCs/>
          <w:noProof w:val="0"/>
          <w:rtl/>
        </w:rPr>
        <w:t>'</w:t>
      </w:r>
      <w:r>
        <w:rPr>
          <w:rFonts w:ascii="Arial" w:hAnsi="Arial"/>
          <w:b/>
          <w:bCs/>
          <w:noProof w:val="0"/>
          <w:rtl/>
        </w:rPr>
        <w:t xml:space="preserve"> הגיע יחד עם המשפחה לו ועם אשתו, היא רוצה להעביר</w:t>
      </w:r>
      <w:r w:rsidR="0036596F">
        <w:rPr>
          <w:rFonts w:ascii="Arial" w:hAnsi="Arial"/>
          <w:b/>
          <w:bCs/>
          <w:noProof w:val="0"/>
          <w:rtl/>
        </w:rPr>
        <w:t xml:space="preserve"> להם את הדירה. מאוד אוהבת את א</w:t>
      </w:r>
      <w:r w:rsidR="0036596F">
        <w:rPr>
          <w:rFonts w:ascii="Arial" w:hAnsi="Arial" w:hint="cs"/>
          <w:b/>
          <w:bCs/>
          <w:noProof w:val="0"/>
          <w:rtl/>
        </w:rPr>
        <w:t>.פ.</w:t>
      </w:r>
      <w:r w:rsidR="0036596F">
        <w:rPr>
          <w:rFonts w:ascii="Arial" w:hAnsi="Arial"/>
          <w:b/>
          <w:bCs/>
          <w:noProof w:val="0"/>
          <w:rtl/>
        </w:rPr>
        <w:t xml:space="preserve"> הוא על שם הבעל שלה א</w:t>
      </w:r>
      <w:r w:rsidR="0036596F">
        <w:rPr>
          <w:rFonts w:ascii="Arial" w:hAnsi="Arial" w:hint="cs"/>
          <w:b/>
          <w:bCs/>
          <w:noProof w:val="0"/>
          <w:rtl/>
        </w:rPr>
        <w:t>'</w:t>
      </w:r>
      <w:r>
        <w:rPr>
          <w:rFonts w:ascii="Arial" w:hAnsi="Arial"/>
          <w:b/>
          <w:bCs/>
          <w:noProof w:val="0"/>
          <w:rtl/>
        </w:rPr>
        <w:t>, שאלתי מה שווי הדירה, ידעה הכל... שאלה למה אני חוזר על שאלות ששאלתי לפני שנה... קצת נפגעה... דיברה עברית אבל מדברת גם יידיש אנגלית וגרמנית. שוב שאלתי ושוב סיפרה על הרכב המשפחה. הזכירה מעגל ראשון ושני, מבקרת במועדון, עושה קניות, בישולים... שומרת כשרות... סיפרה שהייתה נוסעת לחו"</w:t>
      </w:r>
      <w:r w:rsidR="0036596F">
        <w:rPr>
          <w:rFonts w:ascii="Arial" w:hAnsi="Arial"/>
          <w:b/>
          <w:bCs/>
          <w:noProof w:val="0"/>
          <w:rtl/>
        </w:rPr>
        <w:t xml:space="preserve">ל, אמרה שהדירה צריכה שיפוץ. </w:t>
      </w:r>
      <w:r w:rsidR="0036596F">
        <w:rPr>
          <w:rFonts w:ascii="Arial" w:hAnsi="Arial" w:hint="cs"/>
          <w:b/>
          <w:bCs/>
          <w:noProof w:val="0"/>
          <w:rtl/>
        </w:rPr>
        <w:t>פ'</w:t>
      </w:r>
      <w:r>
        <w:rPr>
          <w:rFonts w:ascii="Arial" w:hAnsi="Arial"/>
          <w:b/>
          <w:bCs/>
          <w:noProof w:val="0"/>
          <w:rtl/>
        </w:rPr>
        <w:t xml:space="preserve"> התגורר איתה אבל עזב. לא נוטלת כדורים שמפריעים לה בריכוז, אומרת שהיא זוכרת ואין לה דמנציה. ידעה באיזה בנק היא מנהלת חשבון ומה מצב החשבון. יש קשיים פיזיים. שאלתי אם זקוקה לעזרה בניהול החשבון כי היא מתקשה בהליכה, נפגעה מהשאלה. אמ</w:t>
      </w:r>
      <w:r w:rsidR="0036596F">
        <w:rPr>
          <w:rFonts w:ascii="Arial" w:hAnsi="Arial"/>
          <w:b/>
          <w:bCs/>
          <w:noProof w:val="0"/>
          <w:rtl/>
        </w:rPr>
        <w:t>רה לי שהיא מבינה שהיא נותנת לא</w:t>
      </w:r>
      <w:r w:rsidR="0036596F">
        <w:rPr>
          <w:rFonts w:ascii="Arial" w:hAnsi="Arial" w:hint="cs"/>
          <w:b/>
          <w:bCs/>
          <w:noProof w:val="0"/>
          <w:rtl/>
        </w:rPr>
        <w:t>.פ.</w:t>
      </w:r>
      <w:r>
        <w:rPr>
          <w:rFonts w:ascii="Arial" w:hAnsi="Arial"/>
          <w:b/>
          <w:bCs/>
          <w:noProof w:val="0"/>
          <w:rtl/>
        </w:rPr>
        <w:t xml:space="preserve"> מתנה, משהו משמעותי".</w:t>
      </w:r>
    </w:p>
    <w:p w:rsidR="00DB218F" w:rsidRDefault="0036596F" w:rsidP="0036596F">
      <w:pPr>
        <w:pStyle w:val="a9"/>
        <w:spacing w:after="240" w:line="360" w:lineRule="auto"/>
        <w:ind w:left="0" w:firstLine="708"/>
        <w:contextualSpacing w:val="0"/>
        <w:jc w:val="both"/>
        <w:rPr>
          <w:rFonts w:ascii="Arial" w:hAnsi="Arial"/>
          <w:noProof w:val="0"/>
        </w:rPr>
      </w:pPr>
      <w:r>
        <w:rPr>
          <w:rFonts w:ascii="Arial" w:hAnsi="Arial"/>
          <w:noProof w:val="0"/>
          <w:rtl/>
        </w:rPr>
        <w:t>עו"ד ר</w:t>
      </w:r>
      <w:r>
        <w:rPr>
          <w:rFonts w:ascii="Arial" w:hAnsi="Arial" w:hint="cs"/>
          <w:noProof w:val="0"/>
          <w:rtl/>
        </w:rPr>
        <w:t>'</w:t>
      </w:r>
      <w:r w:rsidR="00DB218F">
        <w:rPr>
          <w:rFonts w:ascii="Arial" w:hAnsi="Arial"/>
          <w:noProof w:val="0"/>
          <w:rtl/>
        </w:rPr>
        <w:t xml:space="preserve"> הסביר שמדובר בהעתק של התרשומות, וכי אינו שומר מסמכי מקור אלא רק העתקים. את התיק עם מסמכי המקור הוא מעביר ללקוח כשהוא מסיים לטפל בתיק. כשנשאל מי הלקוח שלו בעניין הסכם המתנה השיב </w:t>
      </w:r>
      <w:r w:rsidR="00DB218F">
        <w:rPr>
          <w:rFonts w:ascii="Arial" w:hAnsi="Arial"/>
          <w:b/>
          <w:bCs/>
          <w:noProof w:val="0"/>
          <w:rtl/>
        </w:rPr>
        <w:t>שהלקוח הוא הנתבע</w:t>
      </w:r>
      <w:r w:rsidR="00DB218F">
        <w:rPr>
          <w:rFonts w:ascii="Arial" w:hAnsi="Arial"/>
          <w:noProof w:val="0"/>
          <w:rtl/>
        </w:rPr>
        <w:t>, והסביר כי את התיק מסר לידיו, אך אינו יודע לומר אם התרשומות המקוריות נמצאות בתיק. עו"ד ר</w:t>
      </w:r>
      <w:r>
        <w:rPr>
          <w:rFonts w:ascii="Arial" w:hAnsi="Arial" w:hint="cs"/>
          <w:noProof w:val="0"/>
          <w:rtl/>
        </w:rPr>
        <w:t>'</w:t>
      </w:r>
      <w:r w:rsidR="00DB218F">
        <w:rPr>
          <w:rFonts w:ascii="Arial" w:hAnsi="Arial"/>
          <w:noProof w:val="0"/>
          <w:rtl/>
        </w:rPr>
        <w:t xml:space="preserve"> ניסה להסביר שהתיק נמסר לנתבע כי המנוחה כבר נפטרה, אך לא ברור מתי נמסר התיק לידי הנתבע ומדוע הדבר נעשה דווקא לאחר פטירתה של המנוחה, שהרי טען כי את התיק הוא מוסר ללקוח כשהטיפול בו מסתיים (פרוטוקול הדיון מיום 21.5.2024, עמ' 253, שו' 31-6).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עו"ד ר</w:t>
      </w:r>
      <w:r w:rsidR="0036596F">
        <w:rPr>
          <w:rFonts w:ascii="Arial" w:hAnsi="Arial" w:hint="cs"/>
          <w:noProof w:val="0"/>
          <w:rtl/>
        </w:rPr>
        <w:t>'</w:t>
      </w:r>
      <w:r>
        <w:rPr>
          <w:rFonts w:ascii="Arial" w:hAnsi="Arial"/>
          <w:noProof w:val="0"/>
          <w:rtl/>
        </w:rPr>
        <w:t xml:space="preserve"> לא התרשם כי המנוחה הייתה דמנטית במועד עריכת הסכם המתנה (פרוטוקול הדיון מיום 21.5.2024, ע' 226, שו' 22-14). מכיוון שהוא התרשם שהיא ורבלית ומבינה את הנעשה, לא טרח לבקש מסמך רפואי ואף סבר, כי אם יבקש מהמנוחה מסמך בעניין מצבה הקוגניטיבי היא תפגע (פרוטוקול הדיון מיום 240, שו' 23-10).</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כשנשאל מדוע המנוחה לא הגיעה אליו למשרד, הסביר עו"ד ר</w:t>
      </w:r>
      <w:r w:rsidR="0036596F">
        <w:rPr>
          <w:rFonts w:ascii="Arial" w:hAnsi="Arial" w:hint="cs"/>
          <w:noProof w:val="0"/>
          <w:rtl/>
        </w:rPr>
        <w:t>'</w:t>
      </w:r>
      <w:r>
        <w:rPr>
          <w:rFonts w:ascii="Arial" w:hAnsi="Arial"/>
          <w:noProof w:val="0"/>
          <w:rtl/>
        </w:rPr>
        <w:t xml:space="preserve"> שכאשר מדובר באנשים מבוגרים הוא מתנייד עם אופנוע ויותר קל לו כבר להגיע אליהם לביתם מטעמי נוחות (פרוטוקול הדיון מיום 21.5.2024, עמ' 233, שו' 33-31).</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הנתבע לא נכח באותו מועד והוא חתם על ההסכם יום למחרת במשרדו (פרוטוקול הדיון מיום 21.5.2024, עמ' 225, שו' 22-19). עדותו של עו"ד ר</w:t>
      </w:r>
      <w:r w:rsidR="0036596F">
        <w:rPr>
          <w:rFonts w:ascii="Arial" w:hAnsi="Arial" w:hint="cs"/>
          <w:noProof w:val="0"/>
          <w:rtl/>
        </w:rPr>
        <w:t>'</w:t>
      </w:r>
      <w:r>
        <w:rPr>
          <w:rFonts w:ascii="Arial" w:hAnsi="Arial"/>
          <w:noProof w:val="0"/>
          <w:rtl/>
        </w:rPr>
        <w:t xml:space="preserve"> בעניין זה עולה בקנה אחד עם עדותם של הנתבע ו</w:t>
      </w:r>
      <w:r w:rsidR="0036596F">
        <w:rPr>
          <w:rFonts w:ascii="Arial" w:hAnsi="Arial" w:hint="cs"/>
          <w:noProof w:val="0"/>
          <w:rtl/>
        </w:rPr>
        <w:t>-</w:t>
      </w:r>
      <w:r>
        <w:rPr>
          <w:rFonts w:ascii="Arial" w:hAnsi="Arial"/>
          <w:noProof w:val="0"/>
          <w:rtl/>
        </w:rPr>
        <w:t>ד</w:t>
      </w:r>
      <w:r w:rsidR="0036596F">
        <w:rPr>
          <w:rFonts w:ascii="Arial" w:hAnsi="Arial" w:hint="cs"/>
          <w:noProof w:val="0"/>
          <w:rtl/>
        </w:rPr>
        <w:t>'</w:t>
      </w:r>
      <w:r>
        <w:rPr>
          <w:rFonts w:ascii="Arial" w:hAnsi="Arial"/>
          <w:noProof w:val="0"/>
          <w:rtl/>
        </w:rPr>
        <w:t>(עדות הנתבע בפרוטוקול הדיון מיום 18.2.2024, עמ' 204, שו' 1 – עמ' 205, שו' 2; עדותו של ד</w:t>
      </w:r>
      <w:r w:rsidR="0036596F">
        <w:rPr>
          <w:rFonts w:ascii="Arial" w:hAnsi="Arial" w:hint="cs"/>
          <w:noProof w:val="0"/>
          <w:rtl/>
        </w:rPr>
        <w:t>'</w:t>
      </w:r>
      <w:r>
        <w:rPr>
          <w:rFonts w:ascii="Arial" w:hAnsi="Arial"/>
          <w:noProof w:val="0"/>
          <w:rtl/>
        </w:rPr>
        <w:t xml:space="preserve"> בפרוטוקול הדיון מיום 18.2.2024, עמ' 157, שו' 31 – עמ' 158, שו' 15). עו"ד ר</w:t>
      </w:r>
      <w:r w:rsidR="0036596F">
        <w:rPr>
          <w:rFonts w:ascii="Arial" w:hAnsi="Arial" w:hint="cs"/>
          <w:noProof w:val="0"/>
          <w:rtl/>
        </w:rPr>
        <w:t>'</w:t>
      </w:r>
      <w:r>
        <w:rPr>
          <w:rFonts w:ascii="Arial" w:hAnsi="Arial"/>
          <w:noProof w:val="0"/>
          <w:rtl/>
        </w:rPr>
        <w:t xml:space="preserve"> לא ידע להסביר מדוע </w:t>
      </w:r>
      <w:r>
        <w:rPr>
          <w:rFonts w:ascii="Arial" w:hAnsi="Arial"/>
          <w:noProof w:val="0"/>
          <w:rtl/>
        </w:rPr>
        <w:lastRenderedPageBreak/>
        <w:t>לא נחתם הסכם המתנה על ידי המנוחה והנתבע באותו מועד (פרוטוקול הדיון מיום 21.5.2024, עמ' 251, שו' 20-19).</w:t>
      </w:r>
    </w:p>
    <w:p w:rsidR="00DB218F" w:rsidRDefault="00DB218F" w:rsidP="0036596F">
      <w:pPr>
        <w:pStyle w:val="a9"/>
        <w:spacing w:after="240" w:line="360" w:lineRule="auto"/>
        <w:ind w:left="0" w:firstLine="720"/>
        <w:contextualSpacing w:val="0"/>
        <w:jc w:val="both"/>
        <w:rPr>
          <w:rFonts w:ascii="Arial" w:hAnsi="Arial"/>
          <w:noProof w:val="0"/>
        </w:rPr>
      </w:pPr>
      <w:r>
        <w:rPr>
          <w:rFonts w:ascii="Arial" w:hAnsi="Arial"/>
          <w:noProof w:val="0"/>
          <w:rtl/>
        </w:rPr>
        <w:t>עו"ד ר</w:t>
      </w:r>
      <w:r w:rsidR="0036596F">
        <w:rPr>
          <w:rFonts w:ascii="Arial" w:hAnsi="Arial" w:hint="cs"/>
          <w:noProof w:val="0"/>
          <w:rtl/>
        </w:rPr>
        <w:t>'</w:t>
      </w:r>
      <w:r>
        <w:rPr>
          <w:rFonts w:ascii="Arial" w:hAnsi="Arial"/>
          <w:noProof w:val="0"/>
          <w:rtl/>
        </w:rPr>
        <w:t xml:space="preserve"> גם לא ידע לספק הסבר מניח את הדעת מדוע נחתם העמוד השני בלבד של הסכם המתנה ואילו על העמוד הראשון לא מופיעה חתימתה של המנוחה (פרוטוקול הדיון מיום 21.5.2024, עמ' 236, שו' 15-3).</w:t>
      </w:r>
    </w:p>
    <w:p w:rsidR="00DB218F" w:rsidRDefault="00DB218F" w:rsidP="0036596F">
      <w:pPr>
        <w:pStyle w:val="a9"/>
        <w:spacing w:after="120" w:line="360" w:lineRule="auto"/>
        <w:ind w:left="0" w:firstLine="720"/>
        <w:contextualSpacing w:val="0"/>
        <w:jc w:val="both"/>
        <w:rPr>
          <w:rFonts w:ascii="Arial" w:hAnsi="Arial"/>
          <w:noProof w:val="0"/>
        </w:rPr>
      </w:pPr>
      <w:r>
        <w:rPr>
          <w:rFonts w:ascii="Arial" w:hAnsi="Arial"/>
          <w:noProof w:val="0"/>
          <w:rtl/>
        </w:rPr>
        <w:t>עו"ד ר</w:t>
      </w:r>
      <w:r w:rsidR="0036596F">
        <w:rPr>
          <w:rFonts w:ascii="Arial" w:hAnsi="Arial" w:hint="cs"/>
          <w:noProof w:val="0"/>
          <w:rtl/>
        </w:rPr>
        <w:t>'</w:t>
      </w:r>
      <w:r>
        <w:rPr>
          <w:rFonts w:ascii="Arial" w:hAnsi="Arial"/>
          <w:noProof w:val="0"/>
          <w:rtl/>
        </w:rPr>
        <w:t xml:space="preserve"> לא זכר לומר, מי היו הנוכחים במועד חתימתה של המנוחה על הסכם המתנה. תמוה בעיני שעו"ד ר</w:t>
      </w:r>
      <w:r w:rsidR="0036596F">
        <w:rPr>
          <w:rFonts w:ascii="Arial" w:hAnsi="Arial" w:hint="cs"/>
          <w:noProof w:val="0"/>
          <w:rtl/>
        </w:rPr>
        <w:t>'</w:t>
      </w:r>
      <w:r>
        <w:rPr>
          <w:rFonts w:ascii="Arial" w:hAnsi="Arial"/>
          <w:noProof w:val="0"/>
          <w:rtl/>
        </w:rPr>
        <w:t xml:space="preserve"> לא זכר עובדות כה חשובות ממעמד החתימה, וזאת לעומת פרטים פחות משמעותיים אותם דווקא זכר היטב. בית המשפט העיר על כך לעו"ד ר</w:t>
      </w:r>
      <w:r w:rsidR="0036596F">
        <w:rPr>
          <w:rFonts w:ascii="Arial" w:hAnsi="Arial" w:hint="cs"/>
          <w:noProof w:val="0"/>
          <w:rtl/>
        </w:rPr>
        <w:t>'</w:t>
      </w:r>
      <w:r>
        <w:rPr>
          <w:rFonts w:ascii="Arial" w:hAnsi="Arial"/>
          <w:noProof w:val="0"/>
          <w:rtl/>
        </w:rPr>
        <w:t xml:space="preserve"> כבר במועד חקירתו. יתרה מזו, לא ברור מדוע לא ציין עו"ד ר</w:t>
      </w:r>
      <w:r w:rsidR="0036596F">
        <w:rPr>
          <w:rFonts w:ascii="Arial" w:hAnsi="Arial" w:hint="cs"/>
          <w:noProof w:val="0"/>
          <w:rtl/>
        </w:rPr>
        <w:t>'</w:t>
      </w:r>
      <w:r>
        <w:rPr>
          <w:rFonts w:ascii="Arial" w:hAnsi="Arial"/>
          <w:noProof w:val="0"/>
          <w:rtl/>
        </w:rPr>
        <w:t xml:space="preserve"> מי הנוכחים במעמד החתימה במסגרת התרשומות אותן ערך. לעומת זאת, טרח לציין בתרשומת כי הגיע לביתה של המנוחה בשעות אחר הצהריים (פרוטוקול הדיון מיום 21.5.2024, עמ' 230, שו' 22-19; עמ' 246, שו' 30 – עמ' 247, שו' 2; עמ' 248, שו' 35-26; עמ' 256, שו' 9-3): </w:t>
      </w:r>
    </w:p>
    <w:p w:rsidR="00DB218F" w:rsidRDefault="0036596F" w:rsidP="00DB218F">
      <w:pPr>
        <w:pStyle w:val="a9"/>
        <w:ind w:left="141"/>
        <w:jc w:val="both"/>
        <w:rPr>
          <w:rFonts w:ascii="Arial" w:hAnsi="Arial"/>
          <w:noProof w:val="0"/>
          <w:rtl/>
        </w:rPr>
      </w:pPr>
      <w:r w:rsidRPr="0036596F">
        <w:rPr>
          <w:rFonts w:ascii="Arial" w:hAnsi="Arial"/>
          <w:rtl/>
        </w:rPr>
        <w:drawing>
          <wp:inline distT="0" distB="0" distL="0" distR="0" wp14:anchorId="667BB8C6" wp14:editId="60D915A5">
            <wp:extent cx="5400675" cy="1302589"/>
            <wp:effectExtent l="0" t="0" r="0" b="0"/>
            <wp:docPr id="56" name="תמונה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9756" cy="1304779"/>
                    </a:xfrm>
                    <a:prstGeom prst="rect">
                      <a:avLst/>
                    </a:prstGeom>
                  </pic:spPr>
                </pic:pic>
              </a:graphicData>
            </a:graphic>
          </wp:inline>
        </w:drawing>
      </w:r>
    </w:p>
    <w:p w:rsidR="00DB218F" w:rsidRDefault="0036596F" w:rsidP="00DB218F">
      <w:pPr>
        <w:pStyle w:val="a9"/>
        <w:spacing w:after="120"/>
        <w:ind w:left="141"/>
        <w:jc w:val="both"/>
        <w:rPr>
          <w:rFonts w:ascii="Arial" w:hAnsi="Arial"/>
          <w:noProof w:val="0"/>
          <w:rtl/>
        </w:rPr>
      </w:pPr>
      <w:r w:rsidRPr="0036596F">
        <w:rPr>
          <w:rFonts w:ascii="Arial" w:hAnsi="Arial"/>
          <w:rtl/>
        </w:rPr>
        <w:drawing>
          <wp:inline distT="0" distB="0" distL="0" distR="0" wp14:anchorId="40C0DC88" wp14:editId="1B7A7FF6">
            <wp:extent cx="5398544" cy="672860"/>
            <wp:effectExtent l="0" t="0" r="0" b="0"/>
            <wp:docPr id="57" name="תמונה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39551" cy="677971"/>
                    </a:xfrm>
                    <a:prstGeom prst="rect">
                      <a:avLst/>
                    </a:prstGeom>
                  </pic:spPr>
                </pic:pic>
              </a:graphicData>
            </a:graphic>
          </wp:inline>
        </w:drawing>
      </w:r>
    </w:p>
    <w:p w:rsidR="00DB218F" w:rsidRDefault="00DB218F" w:rsidP="00DB218F">
      <w:pPr>
        <w:pStyle w:val="a9"/>
        <w:spacing w:after="120" w:line="360" w:lineRule="auto"/>
        <w:ind w:left="0" w:firstLine="709"/>
        <w:jc w:val="both"/>
        <w:rPr>
          <w:rFonts w:ascii="Arial" w:hAnsi="Arial"/>
          <w:noProof w:val="0"/>
        </w:rPr>
      </w:pPr>
      <w:r>
        <w:rPr>
          <w:rFonts w:ascii="Arial" w:hAnsi="Arial"/>
          <w:noProof w:val="0"/>
          <w:rtl/>
        </w:rPr>
        <w:t>...</w:t>
      </w:r>
    </w:p>
    <w:p w:rsidR="00DB218F" w:rsidRDefault="0036596F" w:rsidP="0036596F">
      <w:pPr>
        <w:pStyle w:val="a9"/>
        <w:spacing w:after="240" w:line="360" w:lineRule="auto"/>
        <w:ind w:left="142"/>
        <w:contextualSpacing w:val="0"/>
        <w:jc w:val="both"/>
        <w:rPr>
          <w:rFonts w:ascii="Arial" w:hAnsi="Arial"/>
          <w:noProof w:val="0"/>
          <w:rtl/>
        </w:rPr>
      </w:pPr>
      <w:r w:rsidRPr="0036596F">
        <w:rPr>
          <w:rFonts w:ascii="Arial" w:hAnsi="Arial"/>
          <w:rtl/>
        </w:rPr>
        <w:drawing>
          <wp:inline distT="0" distB="0" distL="0" distR="0" wp14:anchorId="6F79C5C5" wp14:editId="526E0AA8">
            <wp:extent cx="5400675" cy="2173856"/>
            <wp:effectExtent l="0" t="0" r="0" b="0"/>
            <wp:docPr id="58" name="תמונה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04814" cy="2175522"/>
                    </a:xfrm>
                    <a:prstGeom prst="rect">
                      <a:avLst/>
                    </a:prstGeom>
                  </pic:spPr>
                </pic:pic>
              </a:graphicData>
            </a:graphic>
          </wp:inline>
        </w:drawing>
      </w:r>
    </w:p>
    <w:p w:rsidR="00DB218F" w:rsidRDefault="0036596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עו"ד ר</w:t>
      </w:r>
      <w:r>
        <w:rPr>
          <w:rFonts w:ascii="Arial" w:hAnsi="Arial" w:hint="cs"/>
          <w:noProof w:val="0"/>
          <w:rtl/>
        </w:rPr>
        <w:t>'</w:t>
      </w:r>
      <w:r w:rsidR="00DB218F">
        <w:rPr>
          <w:rFonts w:ascii="Arial" w:hAnsi="Arial"/>
          <w:noProof w:val="0"/>
          <w:rtl/>
        </w:rPr>
        <w:t xml:space="preserve"> העיד שהבין מהמנוחה וגם מ</w:t>
      </w:r>
      <w:r>
        <w:rPr>
          <w:rFonts w:ascii="Arial" w:hAnsi="Arial" w:hint="cs"/>
          <w:noProof w:val="0"/>
          <w:rtl/>
        </w:rPr>
        <w:t>-</w:t>
      </w:r>
      <w:r>
        <w:rPr>
          <w:rFonts w:ascii="Arial" w:hAnsi="Arial"/>
          <w:noProof w:val="0"/>
          <w:rtl/>
        </w:rPr>
        <w:t>ד</w:t>
      </w:r>
      <w:r>
        <w:rPr>
          <w:rFonts w:ascii="Arial" w:hAnsi="Arial" w:hint="cs"/>
          <w:noProof w:val="0"/>
          <w:rtl/>
        </w:rPr>
        <w:t>'</w:t>
      </w:r>
      <w:r w:rsidR="00DB218F">
        <w:rPr>
          <w:rFonts w:ascii="Arial" w:hAnsi="Arial"/>
          <w:noProof w:val="0"/>
          <w:rtl/>
        </w:rPr>
        <w:t xml:space="preserve"> שהבחירה להעניק את הזכויות בדירה דווקא לנתבע ולא ל</w:t>
      </w:r>
      <w:r>
        <w:rPr>
          <w:rFonts w:ascii="Arial" w:hAnsi="Arial" w:hint="cs"/>
          <w:noProof w:val="0"/>
          <w:rtl/>
        </w:rPr>
        <w:t>-</w:t>
      </w:r>
      <w:r>
        <w:rPr>
          <w:rFonts w:ascii="Arial" w:hAnsi="Arial"/>
          <w:noProof w:val="0"/>
          <w:rtl/>
        </w:rPr>
        <w:t>ד</w:t>
      </w:r>
      <w:r>
        <w:rPr>
          <w:rFonts w:ascii="Arial" w:hAnsi="Arial" w:hint="cs"/>
          <w:noProof w:val="0"/>
          <w:rtl/>
        </w:rPr>
        <w:t>'</w:t>
      </w:r>
      <w:r w:rsidR="00DB218F">
        <w:rPr>
          <w:rFonts w:ascii="Arial" w:hAnsi="Arial"/>
          <w:noProof w:val="0"/>
          <w:rtl/>
        </w:rPr>
        <w:t xml:space="preserve"> נבעה בעיקר אך לא </w:t>
      </w:r>
      <w:r>
        <w:rPr>
          <w:rFonts w:ascii="Arial" w:hAnsi="Arial"/>
          <w:noProof w:val="0"/>
          <w:rtl/>
        </w:rPr>
        <w:t>רק משיקולי מס. באותה העת עמד ד</w:t>
      </w:r>
      <w:r>
        <w:rPr>
          <w:rFonts w:ascii="Arial" w:hAnsi="Arial" w:hint="cs"/>
          <w:noProof w:val="0"/>
          <w:rtl/>
        </w:rPr>
        <w:t>'</w:t>
      </w:r>
      <w:r w:rsidR="00DB218F">
        <w:rPr>
          <w:rFonts w:ascii="Arial" w:hAnsi="Arial"/>
          <w:noProof w:val="0"/>
          <w:rtl/>
        </w:rPr>
        <w:t xml:space="preserve"> לקנות זכויות בנכס אחר (פרוטוקול </w:t>
      </w:r>
      <w:r w:rsidR="00DB218F">
        <w:rPr>
          <w:rFonts w:ascii="Arial" w:hAnsi="Arial"/>
          <w:noProof w:val="0"/>
          <w:rtl/>
        </w:rPr>
        <w:lastRenderedPageBreak/>
        <w:t>הדיון מיום 21.5.2024, עמ' 236, שו' 17 – עמ' 237, שו' 21). בנוסף, המנוחה אהבה את הנתבע וזה היה במארג השיקולים שלה (פרוטוקול הדיון מיום 21.5.2024, עמ' 247, שו' 16-12; 250, שו' 24-21).</w:t>
      </w:r>
    </w:p>
    <w:p w:rsidR="00DB218F" w:rsidRDefault="0036596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ד</w:t>
      </w:r>
      <w:r>
        <w:rPr>
          <w:rFonts w:ascii="Arial" w:hAnsi="Arial" w:hint="cs"/>
          <w:noProof w:val="0"/>
          <w:rtl/>
        </w:rPr>
        <w:t>'</w:t>
      </w:r>
      <w:r w:rsidR="00DB218F">
        <w:rPr>
          <w:rFonts w:ascii="Arial" w:hAnsi="Arial"/>
          <w:noProof w:val="0"/>
          <w:rtl/>
        </w:rPr>
        <w:t xml:space="preserve"> טען בעדותו שמי שאש</w:t>
      </w:r>
      <w:r>
        <w:rPr>
          <w:rFonts w:ascii="Arial" w:hAnsi="Arial"/>
          <w:noProof w:val="0"/>
          <w:rtl/>
        </w:rPr>
        <w:t>ם בכל הסכסוך הוא למעשה עו"ד ר</w:t>
      </w:r>
      <w:r>
        <w:rPr>
          <w:rFonts w:ascii="Arial" w:hAnsi="Arial" w:hint="cs"/>
          <w:noProof w:val="0"/>
          <w:rtl/>
        </w:rPr>
        <w:t>'</w:t>
      </w:r>
      <w:r w:rsidR="00DB218F">
        <w:rPr>
          <w:rFonts w:ascii="Arial" w:hAnsi="Arial"/>
          <w:noProof w:val="0"/>
          <w:rtl/>
        </w:rPr>
        <w:t xml:space="preserve"> שגרר רגליים בטיפול בהעברת רישום הזכויות על שמו של הנתב</w:t>
      </w:r>
      <w:r>
        <w:rPr>
          <w:rFonts w:ascii="Arial" w:hAnsi="Arial"/>
          <w:noProof w:val="0"/>
          <w:rtl/>
        </w:rPr>
        <w:t>ע. לטענתו לו היה מסדיר עו"ד ר</w:t>
      </w:r>
      <w:r>
        <w:rPr>
          <w:rFonts w:ascii="Arial" w:hAnsi="Arial" w:hint="cs"/>
          <w:noProof w:val="0"/>
          <w:rtl/>
        </w:rPr>
        <w:t>'</w:t>
      </w:r>
      <w:r w:rsidR="00DB218F">
        <w:rPr>
          <w:rFonts w:ascii="Arial" w:hAnsi="Arial"/>
          <w:noProof w:val="0"/>
          <w:rtl/>
        </w:rPr>
        <w:t xml:space="preserve"> את רישום הזכויות במועד, לא הייתה נוצרת בעיה מלכתחילה (פרוטוקול הדיון מיום 18.2.2024, עמ' 164, שו' 10-8).</w:t>
      </w:r>
    </w:p>
    <w:p w:rsidR="00DB218F" w:rsidRDefault="00DB218F" w:rsidP="0036596F">
      <w:pPr>
        <w:pStyle w:val="a9"/>
        <w:spacing w:after="240" w:line="360" w:lineRule="auto"/>
        <w:ind w:left="0" w:firstLine="708"/>
        <w:contextualSpacing w:val="0"/>
        <w:jc w:val="both"/>
        <w:rPr>
          <w:rFonts w:ascii="Arial" w:hAnsi="Arial"/>
          <w:noProof w:val="0"/>
        </w:rPr>
      </w:pPr>
      <w:r>
        <w:rPr>
          <w:rFonts w:ascii="Arial" w:hAnsi="Arial"/>
          <w:noProof w:val="0"/>
          <w:rtl/>
        </w:rPr>
        <w:t>כשנשאל עו"</w:t>
      </w:r>
      <w:r w:rsidR="0036596F">
        <w:rPr>
          <w:rFonts w:ascii="Arial" w:hAnsi="Arial"/>
          <w:noProof w:val="0"/>
          <w:rtl/>
        </w:rPr>
        <w:t>ד ר</w:t>
      </w:r>
      <w:r w:rsidR="0036596F">
        <w:rPr>
          <w:rFonts w:ascii="Arial" w:hAnsi="Arial" w:hint="cs"/>
          <w:noProof w:val="0"/>
          <w:rtl/>
        </w:rPr>
        <w:t>'</w:t>
      </w:r>
      <w:r>
        <w:rPr>
          <w:rFonts w:ascii="Arial" w:hAnsi="Arial"/>
          <w:noProof w:val="0"/>
          <w:rtl/>
        </w:rPr>
        <w:t xml:space="preserve"> מדוע עסקת המתנה לא הסתיימה ברישום, הסביר שהמניעה העיקרית לרישום העסקה היה העיקול שמוטל על הדירה (פרוטוקול הדיון מיום 21.5.2024, עמ' 7-4). כשנשאל מדוע אם כך לא נרשמה הערת אזהרה מתאימה, הסביר שהוא אינו נוהג לרשום הערות אזהרה כשמדובר בעסקאות בין בני משפחה, וכי הוא לא סבר שבנסיבות דנן יש צורך ברישום הערה כאמור. לטענתו דרישה לרישום הערת אזהרה ביחסים אלה היא בבחינת חוכמה בדיעבד (פרוטוקול הדיון מיום 21.5.2024, עמ' 241, שו' 26 – עמ'</w:t>
      </w:r>
      <w:r w:rsidR="0036596F">
        <w:rPr>
          <w:rFonts w:ascii="Arial" w:hAnsi="Arial"/>
          <w:noProof w:val="0"/>
          <w:rtl/>
        </w:rPr>
        <w:t xml:space="preserve"> 243, שו' 3). טענתו של עו"ד ר</w:t>
      </w:r>
      <w:r w:rsidR="0036596F">
        <w:rPr>
          <w:rFonts w:ascii="Arial" w:hAnsi="Arial" w:hint="cs"/>
          <w:noProof w:val="0"/>
          <w:rtl/>
        </w:rPr>
        <w:t>'</w:t>
      </w:r>
      <w:r>
        <w:rPr>
          <w:rFonts w:ascii="Arial" w:hAnsi="Arial"/>
          <w:noProof w:val="0"/>
          <w:rtl/>
        </w:rPr>
        <w:t xml:space="preserve"> אינה מקובלת עליי והסבריו אינם מניחים את הדעת. ואבהיר.</w:t>
      </w:r>
    </w:p>
    <w:p w:rsidR="00DB218F" w:rsidRDefault="00DB218F" w:rsidP="0036596F">
      <w:pPr>
        <w:pStyle w:val="a9"/>
        <w:spacing w:after="240" w:line="360" w:lineRule="auto"/>
        <w:ind w:left="0" w:firstLine="708"/>
        <w:contextualSpacing w:val="0"/>
        <w:jc w:val="both"/>
        <w:rPr>
          <w:rFonts w:ascii="Arial" w:hAnsi="Arial"/>
          <w:noProof w:val="0"/>
        </w:rPr>
      </w:pPr>
      <w:r>
        <w:rPr>
          <w:rFonts w:ascii="Arial" w:hAnsi="Arial"/>
          <w:noProof w:val="0"/>
          <w:rtl/>
        </w:rPr>
        <w:t>כבר בשלב שבו נערך הסכם המתנה היה ברור שהיחסים בין האחים אינם מתנהלים על מי מנוחות ותוך אמון ושקיפות מלאה, שהרי הסיבה לכאורה לעריכת הסכם המתנה היא הטענה לנטילתו של התובע רכוש רב מהמנוחה, והרצון לתקן את היעדר השוויון בין האחים שנגרם בעקבות פעולותיו</w:t>
      </w:r>
      <w:r w:rsidR="0036596F">
        <w:rPr>
          <w:rFonts w:ascii="Arial" w:hAnsi="Arial"/>
          <w:noProof w:val="0"/>
          <w:rtl/>
        </w:rPr>
        <w:t>, כך העיד עו"ד ר</w:t>
      </w:r>
      <w:r w:rsidR="0036596F">
        <w:rPr>
          <w:rFonts w:ascii="Arial" w:hAnsi="Arial" w:hint="cs"/>
          <w:noProof w:val="0"/>
          <w:rtl/>
        </w:rPr>
        <w:t>'</w:t>
      </w:r>
      <w:r>
        <w:rPr>
          <w:rFonts w:ascii="Arial" w:hAnsi="Arial"/>
          <w:noProof w:val="0"/>
          <w:rtl/>
        </w:rPr>
        <w:t xml:space="preserve"> בעצמו. משכך אין המדובר בחוכמה בדיעבד. </w:t>
      </w:r>
    </w:p>
    <w:p w:rsidR="00DB218F" w:rsidRDefault="00DB218F" w:rsidP="0036596F">
      <w:pPr>
        <w:pStyle w:val="a9"/>
        <w:spacing w:after="240" w:line="360" w:lineRule="auto"/>
        <w:ind w:left="0" w:firstLine="708"/>
        <w:contextualSpacing w:val="0"/>
        <w:jc w:val="both"/>
        <w:rPr>
          <w:rFonts w:ascii="Arial" w:hAnsi="Arial"/>
          <w:noProof w:val="0"/>
          <w:rtl/>
        </w:rPr>
      </w:pPr>
      <w:r>
        <w:rPr>
          <w:rFonts w:ascii="Arial" w:hAnsi="Arial"/>
          <w:noProof w:val="0"/>
          <w:rtl/>
        </w:rPr>
        <w:t>יתרה מזו, עסקת המתנה לא נרשמה עד היום, וברי כי במהלך השנים שחלפו הסלים הסכסוך בין האחים, עד כדי הגשת תלונה במשטרה, וחרף זאת בשום שלב לא מצא הנתבע לנכון לרשום הערת אזהרה בעניין. להפך, הנתבע ו</w:t>
      </w:r>
      <w:r w:rsidR="0036596F">
        <w:rPr>
          <w:rFonts w:ascii="Arial" w:hAnsi="Arial" w:hint="cs"/>
          <w:noProof w:val="0"/>
          <w:rtl/>
        </w:rPr>
        <w:t>-</w:t>
      </w:r>
      <w:r w:rsidR="0036596F">
        <w:rPr>
          <w:rFonts w:ascii="Arial" w:hAnsi="Arial"/>
          <w:noProof w:val="0"/>
          <w:rtl/>
        </w:rPr>
        <w:t>ד</w:t>
      </w:r>
      <w:r w:rsidR="0036596F">
        <w:rPr>
          <w:rFonts w:ascii="Arial" w:hAnsi="Arial" w:hint="cs"/>
          <w:noProof w:val="0"/>
          <w:rtl/>
        </w:rPr>
        <w:t>'</w:t>
      </w:r>
      <w:r>
        <w:rPr>
          <w:rFonts w:ascii="Arial" w:hAnsi="Arial"/>
          <w:noProof w:val="0"/>
          <w:rtl/>
        </w:rPr>
        <w:t xml:space="preserve"> חתמו על הסכמים שונים המאוחרים להסכם המתנה, ואשר אינם נסמכים על הסכם המתנה, ואף סותרים אותו. </w:t>
      </w:r>
    </w:p>
    <w:p w:rsidR="00DB218F" w:rsidRDefault="00DB218F" w:rsidP="0036596F">
      <w:pPr>
        <w:pStyle w:val="a9"/>
        <w:spacing w:after="240" w:line="360" w:lineRule="auto"/>
        <w:ind w:left="0" w:firstLine="708"/>
        <w:contextualSpacing w:val="0"/>
        <w:jc w:val="both"/>
        <w:rPr>
          <w:rFonts w:ascii="Arial" w:hAnsi="Arial"/>
          <w:noProof w:val="0"/>
          <w:rtl/>
        </w:rPr>
      </w:pPr>
      <w:r>
        <w:rPr>
          <w:rFonts w:ascii="Arial" w:hAnsi="Arial"/>
          <w:noProof w:val="0"/>
          <w:rtl/>
        </w:rPr>
        <w:t>אם כך, סביר בעייני כי הערת אזהרה לא נרשמה לטובת הנתבע, היות והיה נהיר לנתבע ול</w:t>
      </w:r>
      <w:r w:rsidR="0036596F">
        <w:rPr>
          <w:rFonts w:ascii="Arial" w:hAnsi="Arial" w:hint="cs"/>
          <w:noProof w:val="0"/>
          <w:rtl/>
        </w:rPr>
        <w:t>-</w:t>
      </w:r>
      <w:r w:rsidR="0036596F">
        <w:rPr>
          <w:rFonts w:ascii="Arial" w:hAnsi="Arial"/>
          <w:noProof w:val="0"/>
          <w:rtl/>
        </w:rPr>
        <w:t>ד</w:t>
      </w:r>
      <w:r w:rsidR="0036596F">
        <w:rPr>
          <w:rFonts w:ascii="Arial" w:hAnsi="Arial" w:hint="cs"/>
          <w:noProof w:val="0"/>
          <w:rtl/>
        </w:rPr>
        <w:t>'</w:t>
      </w:r>
      <w:r>
        <w:rPr>
          <w:rFonts w:ascii="Arial" w:hAnsi="Arial"/>
          <w:noProof w:val="0"/>
          <w:rtl/>
        </w:rPr>
        <w:t xml:space="preserve"> כי הזכויות לא ניתנו לנתבע מכוח הסכם המתנה. </w:t>
      </w:r>
    </w:p>
    <w:p w:rsidR="00DB218F" w:rsidRDefault="0036596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עו"ד ר</w:t>
      </w:r>
      <w:r>
        <w:rPr>
          <w:rFonts w:ascii="Arial" w:hAnsi="Arial" w:hint="cs"/>
          <w:noProof w:val="0"/>
          <w:rtl/>
        </w:rPr>
        <w:t>'</w:t>
      </w:r>
      <w:r w:rsidR="00DB218F">
        <w:rPr>
          <w:rFonts w:ascii="Arial" w:hAnsi="Arial"/>
          <w:noProof w:val="0"/>
          <w:rtl/>
        </w:rPr>
        <w:t xml:space="preserve"> העיד כי לא נערכו מספר טיוטות להסכם המתנה. הו</w:t>
      </w:r>
      <w:r>
        <w:rPr>
          <w:rFonts w:ascii="Arial" w:hAnsi="Arial"/>
          <w:noProof w:val="0"/>
          <w:rtl/>
        </w:rPr>
        <w:t>א ערך את ההסכם לאחר ששוחח עם ד</w:t>
      </w:r>
      <w:r>
        <w:rPr>
          <w:rFonts w:ascii="Arial" w:hAnsi="Arial" w:hint="cs"/>
          <w:noProof w:val="0"/>
          <w:rtl/>
        </w:rPr>
        <w:t>'</w:t>
      </w:r>
      <w:r w:rsidR="00DB218F">
        <w:rPr>
          <w:rFonts w:ascii="Arial" w:hAnsi="Arial"/>
          <w:noProof w:val="0"/>
          <w:rtl/>
        </w:rPr>
        <w:t xml:space="preserve">, הנתבע והמנוחה. ההסכם שנערך על ידו הוא ההסכם שנחתם על ידי המנוחה והנתבע מבלי שמי מהצדדים עבר עליו קודם לכן (פרוטוקול הדיון מיום 21.5.2024, עמ' 260, שו' 35-5; עמ' 263, שו' 5-4). </w:t>
      </w:r>
    </w:p>
    <w:p w:rsidR="00DB218F" w:rsidRDefault="00DB218F" w:rsidP="0036596F">
      <w:pPr>
        <w:pStyle w:val="a9"/>
        <w:spacing w:after="240" w:line="360" w:lineRule="auto"/>
        <w:ind w:left="0" w:firstLine="708"/>
        <w:contextualSpacing w:val="0"/>
        <w:jc w:val="both"/>
        <w:rPr>
          <w:rFonts w:ascii="Arial" w:hAnsi="Arial"/>
          <w:noProof w:val="0"/>
        </w:rPr>
      </w:pPr>
      <w:r>
        <w:rPr>
          <w:rFonts w:ascii="Arial" w:hAnsi="Arial"/>
          <w:noProof w:val="0"/>
          <w:rtl/>
        </w:rPr>
        <w:t>למרות שהצדדים להסכם המתנה הם המנוחה ונכדה הנתבע, ב"הואיל" השני בהסכם צוין כי המנוחה (המוכרת) היא אמו של הנתבע (הקונה). להלן נוסח הסעיף בהסכם המתנה לשם הנוחות:</w:t>
      </w:r>
    </w:p>
    <w:p w:rsidR="00DB218F" w:rsidRDefault="00DB218F" w:rsidP="0036596F">
      <w:pPr>
        <w:pStyle w:val="a9"/>
        <w:spacing w:after="240" w:line="360" w:lineRule="auto"/>
        <w:ind w:left="142"/>
        <w:contextualSpacing w:val="0"/>
        <w:jc w:val="both"/>
        <w:rPr>
          <w:rFonts w:ascii="Arial" w:hAnsi="Arial"/>
          <w:noProof w:val="0"/>
        </w:rPr>
      </w:pPr>
      <w:r>
        <w:rPr>
          <w:rFonts w:ascii="Arial" w:hAnsi="Arial"/>
        </w:rPr>
        <w:drawing>
          <wp:inline distT="0" distB="0" distL="0" distR="0">
            <wp:extent cx="5339715" cy="370840"/>
            <wp:effectExtent l="0" t="0" r="0" b="0"/>
            <wp:docPr id="25" name="תמונה 25"/>
            <wp:cNvGraphicFramePr/>
            <a:graphic xmlns:a="http://schemas.openxmlformats.org/drawingml/2006/main">
              <a:graphicData uri="http://schemas.openxmlformats.org/drawingml/2006/picture">
                <pic:pic xmlns:pic="http://schemas.openxmlformats.org/drawingml/2006/picture">
                  <pic:nvPicPr>
                    <pic:cNvPr id="25" name="תמונה 25"/>
                    <pic:cNvPicPr/>
                  </pic:nvPicPr>
                  <pic:blipFill>
                    <a:blip r:embed="rId27">
                      <a:duotone>
                        <a:prstClr val="black"/>
                        <a:schemeClr val="tx2">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5338445" cy="373380"/>
                    </a:xfrm>
                    <a:prstGeom prst="rect">
                      <a:avLst/>
                    </a:prstGeom>
                    <a:noFill/>
                    <a:ln>
                      <a:noFill/>
                    </a:ln>
                  </pic:spPr>
                </pic:pic>
              </a:graphicData>
            </a:graphic>
          </wp:inline>
        </w:drawing>
      </w:r>
    </w:p>
    <w:p w:rsidR="00DB218F" w:rsidRDefault="00DB218F" w:rsidP="0036596F">
      <w:pPr>
        <w:pStyle w:val="a9"/>
        <w:spacing w:after="120" w:line="360" w:lineRule="auto"/>
        <w:ind w:left="0" w:firstLine="709"/>
        <w:contextualSpacing w:val="0"/>
        <w:jc w:val="both"/>
        <w:rPr>
          <w:rFonts w:ascii="Arial" w:hAnsi="Arial"/>
          <w:noProof w:val="0"/>
        </w:rPr>
      </w:pPr>
      <w:r>
        <w:rPr>
          <w:rFonts w:ascii="Arial" w:hAnsi="Arial"/>
          <w:noProof w:val="0"/>
          <w:rtl/>
        </w:rPr>
        <w:lastRenderedPageBreak/>
        <w:t xml:space="preserve">אם כך, לא ברור מדוע המנוחה, שהייתה כשירה כביכול </w:t>
      </w:r>
      <w:r w:rsidR="0036596F">
        <w:rPr>
          <w:rFonts w:ascii="Arial" w:hAnsi="Arial"/>
          <w:noProof w:val="0"/>
          <w:rtl/>
        </w:rPr>
        <w:t>לטענת הנתבע ולשיטתו של עו"ד ר</w:t>
      </w:r>
      <w:r w:rsidR="0036596F">
        <w:rPr>
          <w:rFonts w:ascii="Arial" w:hAnsi="Arial" w:hint="cs"/>
          <w:noProof w:val="0"/>
          <w:rtl/>
        </w:rPr>
        <w:t>'</w:t>
      </w:r>
      <w:r>
        <w:rPr>
          <w:rFonts w:ascii="Arial" w:hAnsi="Arial"/>
          <w:noProof w:val="0"/>
          <w:rtl/>
        </w:rPr>
        <w:t>, חתמה על הסכם המתנה עת מופיעה בו טעות משמ</w:t>
      </w:r>
      <w:r w:rsidR="0036596F">
        <w:rPr>
          <w:rFonts w:ascii="Arial" w:hAnsi="Arial"/>
          <w:noProof w:val="0"/>
          <w:rtl/>
        </w:rPr>
        <w:t>עותית זו. כשנשאל על כך עו"ד ר</w:t>
      </w:r>
      <w:r w:rsidR="0036596F">
        <w:rPr>
          <w:rFonts w:ascii="Arial" w:hAnsi="Arial" w:hint="cs"/>
          <w:noProof w:val="0"/>
          <w:rtl/>
        </w:rPr>
        <w:t>'</w:t>
      </w:r>
      <w:r>
        <w:rPr>
          <w:rFonts w:ascii="Arial" w:hAnsi="Arial"/>
          <w:noProof w:val="0"/>
          <w:rtl/>
        </w:rPr>
        <w:t xml:space="preserve"> הוא הסביר שהטעות נבעה מכך שבמקור הרצון היה להעביר את הזכויות ל</w:t>
      </w:r>
      <w:r w:rsidR="0036596F">
        <w:rPr>
          <w:rFonts w:ascii="Arial" w:hAnsi="Arial" w:hint="cs"/>
          <w:noProof w:val="0"/>
          <w:rtl/>
        </w:rPr>
        <w:t>-</w:t>
      </w:r>
      <w:r w:rsidR="0036596F">
        <w:rPr>
          <w:rFonts w:ascii="Arial" w:hAnsi="Arial"/>
          <w:noProof w:val="0"/>
          <w:rtl/>
        </w:rPr>
        <w:t>ד</w:t>
      </w:r>
      <w:r w:rsidR="0036596F">
        <w:rPr>
          <w:rFonts w:ascii="Arial" w:hAnsi="Arial" w:hint="cs"/>
          <w:noProof w:val="0"/>
          <w:rtl/>
        </w:rPr>
        <w:t>'</w:t>
      </w:r>
      <w:r>
        <w:rPr>
          <w:rFonts w:ascii="Arial" w:hAnsi="Arial"/>
          <w:noProof w:val="0"/>
          <w:rtl/>
        </w:rPr>
        <w:t xml:space="preserve"> ולא לנתבע. הטעות לא תוקנה במועד החתימה, אך כשהוגש המסמך לטאבו נעשה תיקון בכתב יד (פרוטוקול הדיון מיום 21.5.2024, עמ' 263, שו' 31 – עמ' 264, שו' 16):</w:t>
      </w:r>
    </w:p>
    <w:p w:rsidR="00DB218F" w:rsidRDefault="0036596F" w:rsidP="0036596F">
      <w:pPr>
        <w:pStyle w:val="a9"/>
        <w:spacing w:after="240" w:line="360" w:lineRule="auto"/>
        <w:ind w:left="142"/>
        <w:contextualSpacing w:val="0"/>
        <w:jc w:val="both"/>
        <w:rPr>
          <w:rFonts w:ascii="Arial" w:hAnsi="Arial"/>
          <w:noProof w:val="0"/>
          <w:rtl/>
        </w:rPr>
      </w:pPr>
      <w:r w:rsidRPr="0036596F">
        <w:rPr>
          <w:rFonts w:ascii="Arial" w:hAnsi="Arial"/>
          <w:rtl/>
        </w:rPr>
        <w:drawing>
          <wp:inline distT="0" distB="0" distL="0" distR="0" wp14:anchorId="60616DF8" wp14:editId="38599FEB">
            <wp:extent cx="5400675" cy="1081405"/>
            <wp:effectExtent l="0" t="0" r="9525" b="4445"/>
            <wp:docPr id="59" name="תמונה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675" cy="1081405"/>
                    </a:xfrm>
                    <a:prstGeom prst="rect">
                      <a:avLst/>
                    </a:prstGeom>
                  </pic:spPr>
                </pic:pic>
              </a:graphicData>
            </a:graphic>
          </wp:inline>
        </w:drawing>
      </w:r>
    </w:p>
    <w:p w:rsidR="00DB218F" w:rsidRDefault="0036596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עו"ד ר</w:t>
      </w:r>
      <w:r>
        <w:rPr>
          <w:rFonts w:ascii="Arial" w:hAnsi="Arial" w:hint="cs"/>
          <w:noProof w:val="0"/>
          <w:rtl/>
        </w:rPr>
        <w:t>'</w:t>
      </w:r>
      <w:r w:rsidR="00DB218F">
        <w:rPr>
          <w:rFonts w:ascii="Arial" w:hAnsi="Arial"/>
          <w:noProof w:val="0"/>
          <w:rtl/>
        </w:rPr>
        <w:t xml:space="preserve"> העיד שפגש את המנוחה גם שנה קודם לעריכת הסכם המתנה, לצורך החתמתה על תצהיר וגם אולי כשטיפל בבקשה למתן צו ירושה (פרוטוקול הדיון מיום 21.5.2024</w:t>
      </w:r>
      <w:r>
        <w:rPr>
          <w:rFonts w:ascii="Arial" w:hAnsi="Arial"/>
          <w:noProof w:val="0"/>
          <w:rtl/>
        </w:rPr>
        <w:t>, עמ' 259, שו' 26-13). עו"ד ר</w:t>
      </w:r>
      <w:r>
        <w:rPr>
          <w:rFonts w:ascii="Arial" w:hAnsi="Arial" w:hint="cs"/>
          <w:noProof w:val="0"/>
          <w:rtl/>
        </w:rPr>
        <w:t>'</w:t>
      </w:r>
      <w:r w:rsidR="00DB218F">
        <w:rPr>
          <w:rFonts w:ascii="Arial" w:hAnsi="Arial"/>
          <w:noProof w:val="0"/>
          <w:rtl/>
        </w:rPr>
        <w:t xml:space="preserve"> לא הזכיר שנפגש עם המנוחה גם ביום 22.8.2011 לצורך החתמתה על ייפוי כוח –  שלפיו המנוחה מייפה את כוחו לצורך העברת הזכויות בדירה על שמה מ</w:t>
      </w:r>
      <w:r>
        <w:rPr>
          <w:rFonts w:ascii="Arial" w:hAnsi="Arial" w:hint="cs"/>
          <w:noProof w:val="0"/>
          <w:rtl/>
        </w:rPr>
        <w:t>-</w:t>
      </w:r>
      <w:r>
        <w:rPr>
          <w:rFonts w:ascii="Arial" w:hAnsi="Arial"/>
          <w:noProof w:val="0"/>
          <w:rtl/>
        </w:rPr>
        <w:t>ד</w:t>
      </w:r>
      <w:r>
        <w:rPr>
          <w:rFonts w:ascii="Arial" w:hAnsi="Arial" w:hint="cs"/>
          <w:noProof w:val="0"/>
          <w:rtl/>
        </w:rPr>
        <w:t>'</w:t>
      </w:r>
      <w:r w:rsidR="00DB218F">
        <w:rPr>
          <w:rFonts w:ascii="Arial" w:hAnsi="Arial"/>
          <w:noProof w:val="0"/>
          <w:rtl/>
        </w:rPr>
        <w:t>. לא ברור הצורך בחתימה על ייפוי כוח זה, שהרי כלל לא נטען על ידי מי מהצדדים שבשלב כלשהו היו הז</w:t>
      </w:r>
      <w:r>
        <w:rPr>
          <w:rFonts w:ascii="Arial" w:hAnsi="Arial"/>
          <w:noProof w:val="0"/>
          <w:rtl/>
        </w:rPr>
        <w:t>כויות בדירה רשומות על שמו של ד</w:t>
      </w:r>
      <w:r>
        <w:rPr>
          <w:rFonts w:ascii="Arial" w:hAnsi="Arial" w:hint="cs"/>
          <w:noProof w:val="0"/>
          <w:rtl/>
        </w:rPr>
        <w:t>'</w:t>
      </w:r>
      <w:r w:rsidR="00DB218F">
        <w:rPr>
          <w:rFonts w:ascii="Arial" w:hAnsi="Arial"/>
          <w:noProof w:val="0"/>
          <w:rtl/>
        </w:rPr>
        <w:t>. הנה כי כן, ייפוי כוח זה הועבר למומחית לצורך השוואת חתימת המנוחה על הסכם המתנ</w:t>
      </w:r>
      <w:r>
        <w:rPr>
          <w:rFonts w:ascii="Arial" w:hAnsi="Arial"/>
          <w:noProof w:val="0"/>
          <w:rtl/>
        </w:rPr>
        <w:t>ה. מחוות הדעת עולה, כי עו"ד ר</w:t>
      </w:r>
      <w:r>
        <w:rPr>
          <w:rFonts w:ascii="Arial" w:hAnsi="Arial" w:hint="cs"/>
          <w:noProof w:val="0"/>
          <w:rtl/>
        </w:rPr>
        <w:t>'</w:t>
      </w:r>
      <w:r w:rsidR="00DB218F">
        <w:rPr>
          <w:rFonts w:ascii="Arial" w:hAnsi="Arial"/>
          <w:noProof w:val="0"/>
          <w:rtl/>
        </w:rPr>
        <w:t xml:space="preserve"> הוא שהעביר למומחית את ייפוי הכוח. כשנשאל על כך הסביר, כי הוא כלל לא בטוח שהוא החתים את המנוחה על ייפוי הכוח, ושהוא לא זוכר אם העביר אותו למומחית. זאת חרף העובדה, כי הוא שחתום על ייפוי הכוח ושבחוות דעת המומחית צוין שהוא שהעביר אליה את המסמך (פרוטוקול הדיון מיום 24.5.2024, עמ' 269, שו' 9 – עמ' 273, שו' 17; עמ' 2 לחוות דעת המומחית ונספח פ/1 המצורף לה):</w:t>
      </w:r>
    </w:p>
    <w:p w:rsidR="00DB218F" w:rsidRPr="0036596F" w:rsidRDefault="0036596F" w:rsidP="0036596F">
      <w:pPr>
        <w:pStyle w:val="a9"/>
        <w:spacing w:after="240" w:line="360" w:lineRule="auto"/>
        <w:ind w:left="0"/>
        <w:contextualSpacing w:val="0"/>
        <w:jc w:val="both"/>
        <w:rPr>
          <w:rFonts w:ascii="Arial" w:hAnsi="Arial"/>
          <w:noProof w:val="0"/>
          <w:rtl/>
        </w:rPr>
      </w:pPr>
      <w:r w:rsidRPr="0036596F">
        <w:rPr>
          <w:rFonts w:ascii="Arial" w:hAnsi="Arial"/>
          <w:rtl/>
        </w:rPr>
        <w:drawing>
          <wp:inline distT="0" distB="0" distL="0" distR="0" wp14:anchorId="05B43351" wp14:editId="2807CED4">
            <wp:extent cx="5400675" cy="1487170"/>
            <wp:effectExtent l="0" t="0" r="9525" b="0"/>
            <wp:docPr id="60" name="תמונה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1487170"/>
                    </a:xfrm>
                    <a:prstGeom prst="rect">
                      <a:avLst/>
                    </a:prstGeom>
                  </pic:spPr>
                </pic:pic>
              </a:graphicData>
            </a:graphic>
          </wp:inline>
        </w:drawing>
      </w:r>
    </w:p>
    <w:p w:rsidR="00DB218F" w:rsidRDefault="00DB218F" w:rsidP="0036596F">
      <w:pPr>
        <w:pStyle w:val="a9"/>
        <w:spacing w:after="240" w:line="360" w:lineRule="auto"/>
        <w:ind w:left="0" w:firstLine="709"/>
        <w:contextualSpacing w:val="0"/>
        <w:jc w:val="both"/>
        <w:rPr>
          <w:rFonts w:ascii="Arial" w:hAnsi="Arial"/>
          <w:noProof w:val="0"/>
        </w:rPr>
      </w:pPr>
      <w:r>
        <w:rPr>
          <w:rFonts w:ascii="Arial" w:hAnsi="Arial"/>
          <w:noProof w:val="0"/>
          <w:rtl/>
        </w:rPr>
        <w:t>גם אם נצא מנקודת הנחה שהמומחית נקלעה לכדי טעות, ועו"ד כ</w:t>
      </w:r>
      <w:r w:rsidR="0036596F">
        <w:rPr>
          <w:rFonts w:ascii="Arial" w:hAnsi="Arial" w:hint="cs"/>
          <w:noProof w:val="0"/>
          <w:rtl/>
        </w:rPr>
        <w:t>'</w:t>
      </w:r>
      <w:r>
        <w:rPr>
          <w:rFonts w:ascii="Arial" w:hAnsi="Arial"/>
          <w:noProof w:val="0"/>
          <w:rtl/>
        </w:rPr>
        <w:t xml:space="preserve"> הוא שהעביר לה את ייפוי הכוח, ולא עו"ד ר</w:t>
      </w:r>
      <w:r w:rsidR="0036596F">
        <w:rPr>
          <w:rFonts w:ascii="Arial" w:hAnsi="Arial" w:hint="cs"/>
          <w:noProof w:val="0"/>
          <w:rtl/>
        </w:rPr>
        <w:t>'</w:t>
      </w:r>
      <w:r>
        <w:rPr>
          <w:rFonts w:ascii="Arial" w:hAnsi="Arial"/>
          <w:noProof w:val="0"/>
          <w:rtl/>
        </w:rPr>
        <w:t xml:space="preserve">, עדיין לא ברור מדוע הוחתמה המנוחה על ייפוי כוח זה ועל ידי מי, וזאת </w:t>
      </w:r>
      <w:r w:rsidR="0036596F">
        <w:rPr>
          <w:rFonts w:ascii="Arial" w:hAnsi="Arial"/>
          <w:noProof w:val="0"/>
          <w:rtl/>
        </w:rPr>
        <w:t>בשים לב, כי לטענת עו"ד ר</w:t>
      </w:r>
      <w:r w:rsidR="0036596F">
        <w:rPr>
          <w:rFonts w:ascii="Arial" w:hAnsi="Arial" w:hint="cs"/>
          <w:noProof w:val="0"/>
          <w:rtl/>
        </w:rPr>
        <w:t>'</w:t>
      </w:r>
      <w:r>
        <w:rPr>
          <w:rFonts w:ascii="Arial" w:hAnsi="Arial"/>
          <w:noProof w:val="0"/>
          <w:rtl/>
        </w:rPr>
        <w:t xml:space="preserve"> הוא אינו סבור שהוא זה שאכן חתם על המסמך למרות שחתימתו מופיעה על גביו. </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w:rPr>
          <w:rFonts w:ascii="Arial" w:hAnsi="Arial"/>
          <w:noProof w:val="0"/>
          <w:rtl/>
        </w:rPr>
        <w:lastRenderedPageBreak/>
        <w:t>נוסף על כל אלה, ביום 4.12.20211 נערך פרוטוקול חברת מ</w:t>
      </w:r>
      <w:r w:rsidR="0036596F">
        <w:rPr>
          <w:rFonts w:ascii="Arial" w:hAnsi="Arial" w:hint="cs"/>
          <w:noProof w:val="0"/>
          <w:rtl/>
        </w:rPr>
        <w:t xml:space="preserve">' </w:t>
      </w:r>
      <w:r>
        <w:rPr>
          <w:rFonts w:ascii="Arial" w:hAnsi="Arial"/>
          <w:noProof w:val="0"/>
          <w:rtl/>
        </w:rPr>
        <w:t xml:space="preserve">שבמסגרתו ניתן, בין היתר, האישור לביצוע העברה הזכויות מהמנוחה לידי הנתבע. יוער כי נוסף לאישור העברת הזכויות ניתן גם אישור לנטילת משכנתה בסך של 800,000 ₪ לטובת </w:t>
      </w:r>
      <w:r w:rsidR="0036596F">
        <w:rPr>
          <w:rFonts w:ascii="Arial" w:hAnsi="Arial" w:hint="cs"/>
          <w:noProof w:val="0"/>
          <w:rtl/>
        </w:rPr>
        <w:t>כ'</w:t>
      </w:r>
      <w:r>
        <w:rPr>
          <w:rFonts w:ascii="Arial" w:hAnsi="Arial"/>
          <w:noProof w:val="0"/>
          <w:rtl/>
        </w:rPr>
        <w:t xml:space="preserve"> בע"מ (להלן: </w:t>
      </w:r>
      <w:r>
        <w:rPr>
          <w:rFonts w:ascii="Arial" w:hAnsi="Arial"/>
          <w:b/>
          <w:bCs/>
          <w:noProof w:val="0"/>
          <w:rtl/>
        </w:rPr>
        <w:t xml:space="preserve">"חברת </w:t>
      </w:r>
      <w:r w:rsidR="0036596F">
        <w:rPr>
          <w:rFonts w:ascii="Arial" w:hAnsi="Arial" w:hint="cs"/>
          <w:b/>
          <w:bCs/>
          <w:noProof w:val="0"/>
          <w:rtl/>
        </w:rPr>
        <w:t xml:space="preserve">כ' </w:t>
      </w:r>
      <w:r>
        <w:rPr>
          <w:rFonts w:ascii="Arial" w:hAnsi="Arial"/>
          <w:b/>
          <w:bCs/>
          <w:noProof w:val="0"/>
          <w:rtl/>
        </w:rPr>
        <w:t>"</w:t>
      </w:r>
      <w:r>
        <w:rPr>
          <w:rFonts w:ascii="Arial" w:hAnsi="Arial"/>
          <w:noProof w:val="0"/>
          <w:rtl/>
        </w:rPr>
        <w:t xml:space="preserve">). במועד נטילת המשכנתה היה חברת </w:t>
      </w:r>
      <w:r w:rsidR="0036596F">
        <w:rPr>
          <w:rFonts w:ascii="Arial" w:hAnsi="Arial" w:hint="cs"/>
          <w:noProof w:val="0"/>
          <w:rtl/>
        </w:rPr>
        <w:t>כ'</w:t>
      </w:r>
      <w:r>
        <w:rPr>
          <w:rFonts w:ascii="Arial" w:hAnsi="Arial"/>
          <w:noProof w:val="0"/>
          <w:rtl/>
        </w:rPr>
        <w:t xml:space="preserve"> בבעלותו של ד</w:t>
      </w:r>
      <w:r w:rsidR="0036596F">
        <w:rPr>
          <w:rFonts w:ascii="Arial" w:hAnsi="Arial" w:hint="cs"/>
          <w:noProof w:val="0"/>
          <w:rtl/>
        </w:rPr>
        <w:t>'</w:t>
      </w:r>
      <w:r>
        <w:rPr>
          <w:rFonts w:ascii="Arial" w:hAnsi="Arial"/>
          <w:noProof w:val="0"/>
          <w:rtl/>
        </w:rPr>
        <w:t>,</w:t>
      </w:r>
      <w:r w:rsidR="0036596F">
        <w:rPr>
          <w:rFonts w:ascii="Arial" w:hAnsi="Arial"/>
          <w:noProof w:val="0"/>
          <w:rtl/>
        </w:rPr>
        <w:t xml:space="preserve"> וכיום היא בבעלותם המשותפת של ד</w:t>
      </w:r>
      <w:r w:rsidR="0036596F">
        <w:rPr>
          <w:rFonts w:ascii="Arial" w:hAnsi="Arial" w:hint="cs"/>
          <w:noProof w:val="0"/>
          <w:rtl/>
        </w:rPr>
        <w:t>'</w:t>
      </w:r>
      <w:r>
        <w:rPr>
          <w:rFonts w:ascii="Arial" w:hAnsi="Arial"/>
          <w:noProof w:val="0"/>
          <w:rtl/>
        </w:rPr>
        <w:t xml:space="preserve"> והנתבע (פרוטוקול הדיון מיום 18.2.2024, עמ' 93, שו' 4-2). עוד באותו יום נחתמו כתבי הסכמה מטעם חברת מ</w:t>
      </w:r>
      <w:r w:rsidR="0036596F">
        <w:rPr>
          <w:rFonts w:ascii="Arial" w:hAnsi="Arial" w:hint="cs"/>
          <w:noProof w:val="0"/>
          <w:rtl/>
        </w:rPr>
        <w:t>'</w:t>
      </w:r>
      <w:r>
        <w:rPr>
          <w:rFonts w:ascii="Arial" w:hAnsi="Arial"/>
          <w:noProof w:val="0"/>
          <w:rtl/>
        </w:rPr>
        <w:t xml:space="preserve"> לאישור הפעולות הנ"ל.</w:t>
      </w:r>
    </w:p>
    <w:p w:rsidR="00DB218F" w:rsidRDefault="00DB218F" w:rsidP="0036596F">
      <w:pPr>
        <w:pStyle w:val="a9"/>
        <w:spacing w:after="240" w:line="360" w:lineRule="auto"/>
        <w:ind w:left="0" w:firstLine="708"/>
        <w:contextualSpacing w:val="0"/>
        <w:jc w:val="both"/>
        <w:rPr>
          <w:rFonts w:ascii="Arial" w:hAnsi="Arial"/>
          <w:b/>
          <w:bCs/>
          <w:noProof w:val="0"/>
          <w:sz w:val="28"/>
          <w:szCs w:val="28"/>
          <w:u w:val="single"/>
        </w:rPr>
      </w:pPr>
      <w:r>
        <w:rPr>
          <w:rFonts w:ascii="Arial" w:hAnsi="Arial"/>
          <w:noProof w:val="0"/>
          <w:rtl/>
        </w:rPr>
        <w:t xml:space="preserve">עו"ד </w:t>
      </w:r>
      <w:r w:rsidR="0036596F">
        <w:rPr>
          <w:rFonts w:ascii="Arial" w:hAnsi="Arial"/>
          <w:noProof w:val="0"/>
          <w:rtl/>
        </w:rPr>
        <w:t>ר</w:t>
      </w:r>
      <w:r w:rsidR="0036596F">
        <w:rPr>
          <w:rFonts w:ascii="Arial" w:hAnsi="Arial" w:hint="cs"/>
          <w:noProof w:val="0"/>
          <w:rtl/>
        </w:rPr>
        <w:t>'</w:t>
      </w:r>
      <w:r>
        <w:rPr>
          <w:rFonts w:ascii="Arial" w:hAnsi="Arial"/>
          <w:noProof w:val="0"/>
          <w:rtl/>
        </w:rPr>
        <w:t xml:space="preserve"> הוא שאימת את חתימה של הגברת </w:t>
      </w:r>
      <w:r w:rsidR="0036596F">
        <w:rPr>
          <w:rFonts w:ascii="Arial" w:hAnsi="Arial" w:hint="cs"/>
          <w:noProof w:val="0"/>
          <w:rtl/>
        </w:rPr>
        <w:t>ב'</w:t>
      </w:r>
      <w:r>
        <w:rPr>
          <w:rFonts w:ascii="Arial" w:hAnsi="Arial"/>
          <w:noProof w:val="0"/>
          <w:rtl/>
        </w:rPr>
        <w:t xml:space="preserve"> על הפרוטוקול וכתבי ההסכמה כגורם אשר רשאי לחתום בשם החברה על מסמכי החברה (להלן: </w:t>
      </w:r>
      <w:r>
        <w:rPr>
          <w:rFonts w:ascii="Arial" w:hAnsi="Arial"/>
          <w:b/>
          <w:bCs/>
          <w:noProof w:val="0"/>
          <w:rtl/>
        </w:rPr>
        <w:t xml:space="preserve">"הגברת </w:t>
      </w:r>
      <w:r w:rsidR="0036596F">
        <w:rPr>
          <w:rFonts w:ascii="Arial" w:hAnsi="Arial" w:hint="cs"/>
          <w:b/>
          <w:bCs/>
          <w:noProof w:val="0"/>
          <w:rtl/>
        </w:rPr>
        <w:t>ב'</w:t>
      </w:r>
      <w:r>
        <w:rPr>
          <w:rFonts w:ascii="Arial" w:hAnsi="Arial"/>
          <w:b/>
          <w:bCs/>
          <w:noProof w:val="0"/>
          <w:rtl/>
        </w:rPr>
        <w:t>"</w:t>
      </w:r>
      <w:r>
        <w:rPr>
          <w:rFonts w:ascii="Arial" w:hAnsi="Arial"/>
          <w:noProof w:val="0"/>
          <w:rtl/>
        </w:rPr>
        <w:t>, נספחים א.5 לכתב ההגנה; נספחים יא'-יב' לתצהיר עדותו הראשית של התובע).</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הגברת </w:t>
      </w:r>
      <w:r w:rsidR="0036596F">
        <w:rPr>
          <w:rFonts w:ascii="Arial" w:hAnsi="Arial" w:hint="cs"/>
          <w:noProof w:val="0"/>
          <w:rtl/>
        </w:rPr>
        <w:t>ב'</w:t>
      </w:r>
      <w:r>
        <w:rPr>
          <w:rFonts w:ascii="Arial" w:hAnsi="Arial"/>
          <w:noProof w:val="0"/>
          <w:rtl/>
        </w:rPr>
        <w:t xml:space="preserve"> הוזמנה ליתן עדות לבקשת התובע. בחקירתה הובהר, כי היא דיירת בבניין שבו נמצאת הדירה. בחקירתה הסבירה שבחרה שלא להגיש תצהיר כי </w:t>
      </w:r>
      <w:r>
        <w:rPr>
          <w:rFonts w:ascii="Arial" w:hAnsi="Arial"/>
          <w:b/>
          <w:bCs/>
          <w:noProof w:val="0"/>
          <w:rtl/>
        </w:rPr>
        <w:t>"...עצם המעמד פה מלחיץ אותי, אני לא קשורה לתיק... לא רציתי להיות חלק מהעניין, אני לא יודעת על מה הסכסוך אפילו"</w:t>
      </w:r>
      <w:r>
        <w:rPr>
          <w:rFonts w:ascii="Arial" w:hAnsi="Arial"/>
          <w:noProof w:val="0"/>
          <w:rtl/>
        </w:rPr>
        <w:t xml:space="preserve"> (פרוטוקול הדיון מיום 18.2.2024, עמ' 47, שו' 33-20).</w:t>
      </w:r>
    </w:p>
    <w:p w:rsidR="00DB218F" w:rsidRDefault="00DB218F" w:rsidP="0036596F">
      <w:pPr>
        <w:pStyle w:val="a9"/>
        <w:spacing w:after="240" w:line="360" w:lineRule="auto"/>
        <w:ind w:left="0" w:firstLine="720"/>
        <w:contextualSpacing w:val="0"/>
        <w:jc w:val="both"/>
        <w:rPr>
          <w:rFonts w:ascii="Arial" w:hAnsi="Arial"/>
          <w:b/>
          <w:bCs/>
          <w:noProof w:val="0"/>
          <w:sz w:val="28"/>
          <w:szCs w:val="28"/>
          <w:u w:val="single"/>
        </w:rPr>
      </w:pPr>
      <w:r>
        <w:rPr>
          <w:rFonts w:ascii="Arial" w:hAnsi="Arial"/>
          <w:noProof w:val="0"/>
          <w:rtl/>
        </w:rPr>
        <w:t>בחקי</w:t>
      </w:r>
      <w:r w:rsidR="0036596F">
        <w:rPr>
          <w:rFonts w:ascii="Arial" w:hAnsi="Arial"/>
          <w:noProof w:val="0"/>
          <w:rtl/>
        </w:rPr>
        <w:t>רתה העידה כי אין לה קשר לחברת מ</w:t>
      </w:r>
      <w:r w:rsidR="0036596F">
        <w:rPr>
          <w:rFonts w:ascii="Arial" w:hAnsi="Arial" w:hint="cs"/>
          <w:noProof w:val="0"/>
          <w:rtl/>
        </w:rPr>
        <w:t>'</w:t>
      </w:r>
      <w:r>
        <w:rPr>
          <w:rFonts w:ascii="Arial" w:hAnsi="Arial"/>
          <w:noProof w:val="0"/>
          <w:rtl/>
        </w:rPr>
        <w:t>, היא מעולם לא הייתה בעלת תפקיד בחברה. שם החברה מוכר לה רק בגלל תהליכי תמ"א שהבניין שבו נמצאת הדירה עתיד לעבור. הא ותו לא (פרוטוקול הדיון מיום 18.2.2024, עמ' 48, שו' 33-1).</w:t>
      </w:r>
    </w:p>
    <w:p w:rsidR="00DB218F" w:rsidRDefault="00DB218F" w:rsidP="0036596F">
      <w:pPr>
        <w:pStyle w:val="a9"/>
        <w:spacing w:after="240" w:line="360" w:lineRule="auto"/>
        <w:ind w:left="0" w:firstLine="720"/>
        <w:contextualSpacing w:val="0"/>
        <w:jc w:val="both"/>
        <w:rPr>
          <w:rFonts w:ascii="Arial" w:hAnsi="Arial"/>
          <w:b/>
          <w:bCs/>
          <w:noProof w:val="0"/>
          <w:sz w:val="28"/>
          <w:szCs w:val="28"/>
          <w:u w:val="single"/>
        </w:rPr>
      </w:pPr>
      <w:r>
        <w:rPr>
          <w:rFonts w:ascii="Arial" w:hAnsi="Arial"/>
          <w:noProof w:val="0"/>
          <w:rtl/>
        </w:rPr>
        <w:t>עוד העידה כי היא לא חתמה על הפרוטוקול וכתבי ההסכמה; היא אינה מכירה את עו"ד ר</w:t>
      </w:r>
      <w:r w:rsidR="0036596F">
        <w:rPr>
          <w:rFonts w:ascii="Arial" w:hAnsi="Arial" w:hint="cs"/>
          <w:noProof w:val="0"/>
          <w:rtl/>
        </w:rPr>
        <w:t>'</w:t>
      </w:r>
      <w:r>
        <w:rPr>
          <w:rFonts w:ascii="Arial" w:hAnsi="Arial"/>
          <w:noProof w:val="0"/>
          <w:rtl/>
        </w:rPr>
        <w:t xml:space="preserve"> ולא נפגשה איתו; בשל כך, היא אף הגישה תלונה במשטרה על זיוף (פרוטוקול הדיון מיום 18.2.2024, עמ' 51, שו' 1 – עמ' 52, שו' 5).</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w:rPr>
          <w:rFonts w:ascii="Arial" w:hAnsi="Arial"/>
          <w:noProof w:val="0"/>
          <w:rtl/>
        </w:rPr>
        <w:t>מנגד, הסביר עו"ד ר</w:t>
      </w:r>
      <w:r w:rsidR="0036596F">
        <w:rPr>
          <w:rFonts w:ascii="Arial" w:hAnsi="Arial" w:hint="cs"/>
          <w:noProof w:val="0"/>
          <w:rtl/>
        </w:rPr>
        <w:t>'</w:t>
      </w:r>
      <w:r>
        <w:rPr>
          <w:rFonts w:ascii="Arial" w:hAnsi="Arial"/>
          <w:noProof w:val="0"/>
          <w:rtl/>
        </w:rPr>
        <w:t xml:space="preserve"> בחקירתו, כי חברת מ</w:t>
      </w:r>
      <w:r w:rsidR="0036596F">
        <w:rPr>
          <w:rFonts w:ascii="Arial" w:hAnsi="Arial" w:hint="cs"/>
          <w:noProof w:val="0"/>
          <w:rtl/>
        </w:rPr>
        <w:t>'</w:t>
      </w:r>
      <w:r>
        <w:rPr>
          <w:rFonts w:ascii="Arial" w:hAnsi="Arial"/>
          <w:noProof w:val="0"/>
          <w:rtl/>
        </w:rPr>
        <w:t xml:space="preserve"> היא "חברת גוש חלקה". הגברת </w:t>
      </w:r>
      <w:r w:rsidR="0036596F">
        <w:rPr>
          <w:rFonts w:ascii="Arial" w:hAnsi="Arial" w:hint="cs"/>
          <w:noProof w:val="0"/>
          <w:rtl/>
        </w:rPr>
        <w:t>ב'</w:t>
      </w:r>
      <w:r>
        <w:rPr>
          <w:rFonts w:ascii="Arial" w:hAnsi="Arial"/>
          <w:noProof w:val="0"/>
          <w:rtl/>
        </w:rPr>
        <w:t xml:space="preserve"> היא בעלת מניות בחברה ובמועד הרלוונטי </w:t>
      </w:r>
      <w:r>
        <w:rPr>
          <w:rFonts w:ascii="Arial" w:hAnsi="Arial"/>
          <w:b/>
          <w:bCs/>
          <w:noProof w:val="0"/>
          <w:rtl/>
        </w:rPr>
        <w:t xml:space="preserve">"היא החזיקה אחרי אביה חותמת של החברה וכל הבניין עשה דרכה שימוש בכל מכר שהיה בנכס לאורך כל השנים".  </w:t>
      </w:r>
      <w:r>
        <w:rPr>
          <w:rFonts w:ascii="Arial" w:hAnsi="Arial"/>
          <w:noProof w:val="0"/>
          <w:rtl/>
        </w:rPr>
        <w:t>ברי כי לא כל בעל מניות מהווה גורם חתימה מוסמך בשם החברה. כשעובדה זו הוצגה לעו"ד ר</w:t>
      </w:r>
      <w:r w:rsidR="0036596F">
        <w:rPr>
          <w:rFonts w:ascii="Arial" w:hAnsi="Arial" w:hint="cs"/>
          <w:noProof w:val="0"/>
          <w:rtl/>
        </w:rPr>
        <w:t>'</w:t>
      </w:r>
      <w:r>
        <w:rPr>
          <w:rFonts w:ascii="Arial" w:hAnsi="Arial"/>
          <w:noProof w:val="0"/>
          <w:rtl/>
        </w:rPr>
        <w:t xml:space="preserve"> בחקירתו הוא העיד כי </w:t>
      </w:r>
      <w:r>
        <w:rPr>
          <w:rFonts w:ascii="Arial" w:hAnsi="Arial"/>
          <w:b/>
          <w:bCs/>
          <w:noProof w:val="0"/>
          <w:rtl/>
        </w:rPr>
        <w:t>"... למיטב זכרונו היה פרוטוקול כזה שהוכן. אני יכול לבדוק גברתי".</w:t>
      </w:r>
      <w:r>
        <w:rPr>
          <w:rFonts w:ascii="Arial" w:hAnsi="Arial"/>
          <w:noProof w:val="0"/>
          <w:rtl/>
        </w:rPr>
        <w:t xml:space="preserve"> בעקבות כך נקבע בהחלטה, כי על עו"ד ר</w:t>
      </w:r>
      <w:r w:rsidR="0036596F">
        <w:rPr>
          <w:rFonts w:ascii="Arial" w:hAnsi="Arial" w:hint="cs"/>
          <w:noProof w:val="0"/>
          <w:rtl/>
        </w:rPr>
        <w:t xml:space="preserve">' </w:t>
      </w:r>
      <w:r>
        <w:rPr>
          <w:rFonts w:ascii="Arial" w:hAnsi="Arial"/>
          <w:noProof w:val="0"/>
          <w:rtl/>
        </w:rPr>
        <w:t xml:space="preserve">להציג פרוטוקול, שבו הוענקה לגברת </w:t>
      </w:r>
      <w:r w:rsidR="0036596F">
        <w:rPr>
          <w:rFonts w:ascii="Arial" w:hAnsi="Arial" w:hint="cs"/>
          <w:noProof w:val="0"/>
          <w:rtl/>
        </w:rPr>
        <w:t>ב'</w:t>
      </w:r>
      <w:r>
        <w:rPr>
          <w:rFonts w:ascii="Arial" w:hAnsi="Arial"/>
          <w:noProof w:val="0"/>
          <w:rtl/>
        </w:rPr>
        <w:t xml:space="preserve"> זכות החתימה בשם החברה, וזאת בתוך שלושה ימים. פרוטוקול כאמור לא הוצג עד כה (פרוטוקול הדיון מיום 21.5.2024, עמ' 278, שו' 4 – עמ' 280, שו' 24; עמ' 288, שו' 25 – עמ' 291, שו' 31).</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w:rPr>
          <w:rFonts w:ascii="Arial" w:hAnsi="Arial"/>
          <w:noProof w:val="0"/>
          <w:rtl/>
        </w:rPr>
        <w:t>לא מצאתי כי בעדותו של עו"ד ר</w:t>
      </w:r>
      <w:r w:rsidR="0036596F">
        <w:rPr>
          <w:rFonts w:ascii="Arial" w:hAnsi="Arial" w:hint="cs"/>
          <w:noProof w:val="0"/>
          <w:rtl/>
        </w:rPr>
        <w:t>'</w:t>
      </w:r>
      <w:r>
        <w:rPr>
          <w:rFonts w:ascii="Arial" w:hAnsi="Arial"/>
          <w:noProof w:val="0"/>
          <w:rtl/>
        </w:rPr>
        <w:t xml:space="preserve"> להטות את הכף לטובת הנתבע בטענתו, כי המנוחה הייתה כשירה במועד עריכת הסכם המתנה. גם לאחר חקירתו של עו"ד ר</w:t>
      </w:r>
      <w:r w:rsidR="0036596F">
        <w:rPr>
          <w:rFonts w:ascii="Arial" w:hAnsi="Arial" w:hint="cs"/>
          <w:noProof w:val="0"/>
          <w:rtl/>
        </w:rPr>
        <w:t>'</w:t>
      </w:r>
      <w:r>
        <w:rPr>
          <w:rFonts w:ascii="Arial" w:hAnsi="Arial"/>
          <w:noProof w:val="0"/>
          <w:rtl/>
        </w:rPr>
        <w:t xml:space="preserve">, לא ברור מדוע המנוחה לא הוחתמה על העמוד הראשון של הסכם המתנה; לא ברור מדוע חתמה המנוחה על הסכם שבו קיימת טעות עובדתית מובהקת; לא ברור מתי בוצע התיקון הדרוש בהסכם המתנה והאם התבקשה המנוחה </w:t>
      </w:r>
      <w:r>
        <w:rPr>
          <w:rFonts w:ascii="Arial" w:hAnsi="Arial"/>
          <w:noProof w:val="0"/>
          <w:rtl/>
        </w:rPr>
        <w:lastRenderedPageBreak/>
        <w:t>לחתום עליו ומתי; לא ברור מי היו הנוכחים במועד חתימת המנוחה על הסכם המתנה. מנגד, הובהר כי ד</w:t>
      </w:r>
      <w:r w:rsidR="0036596F">
        <w:rPr>
          <w:rFonts w:ascii="Arial" w:hAnsi="Arial" w:hint="cs"/>
          <w:noProof w:val="0"/>
          <w:rtl/>
        </w:rPr>
        <w:t>'</w:t>
      </w:r>
      <w:r>
        <w:rPr>
          <w:rFonts w:ascii="Arial" w:hAnsi="Arial"/>
          <w:noProof w:val="0"/>
          <w:rtl/>
        </w:rPr>
        <w:t xml:space="preserve"> הוא שיזם את עריכת הסכם המתנה ולא המנוחה. יתרה מזו, מצאתי כי התנהלותו של עו"ד ר</w:t>
      </w:r>
      <w:r w:rsidR="0036596F">
        <w:rPr>
          <w:rFonts w:ascii="Arial" w:hAnsi="Arial" w:hint="cs"/>
          <w:noProof w:val="0"/>
          <w:rtl/>
        </w:rPr>
        <w:t>'</w:t>
      </w:r>
      <w:r>
        <w:rPr>
          <w:rFonts w:ascii="Arial" w:hAnsi="Arial"/>
          <w:noProof w:val="0"/>
          <w:rtl/>
        </w:rPr>
        <w:t xml:space="preserve"> בכל הקשור להחתמתה של הגברת </w:t>
      </w:r>
      <w:r w:rsidR="0036596F">
        <w:rPr>
          <w:rFonts w:ascii="Arial" w:hAnsi="Arial" w:hint="cs"/>
          <w:noProof w:val="0"/>
          <w:rtl/>
        </w:rPr>
        <w:t>ב'</w:t>
      </w:r>
      <w:r>
        <w:rPr>
          <w:rFonts w:ascii="Arial" w:hAnsi="Arial"/>
          <w:noProof w:val="0"/>
          <w:rtl/>
        </w:rPr>
        <w:t xml:space="preserve"> על מסמכים משפטיים כנציגה רשמית של חברת מ</w:t>
      </w:r>
      <w:r w:rsidR="0036596F">
        <w:rPr>
          <w:rFonts w:ascii="Arial" w:hAnsi="Arial" w:hint="cs"/>
          <w:noProof w:val="0"/>
          <w:rtl/>
        </w:rPr>
        <w:t>'</w:t>
      </w:r>
      <w:r>
        <w:rPr>
          <w:rFonts w:ascii="Arial" w:hAnsi="Arial"/>
          <w:noProof w:val="0"/>
          <w:rtl/>
        </w:rPr>
        <w:t xml:space="preserve"> – מטילה צל כבד על מהימנותו. </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u w:val="single"/>
        </w:rPr>
      </w:pPr>
      <w:r>
        <mc:AlternateContent>
          <mc:Choice Requires="wps">
            <w:drawing>
              <wp:anchor distT="0" distB="0" distL="114300" distR="114300" simplePos="0" relativeHeight="251663872" behindDoc="0" locked="0" layoutInCell="1" allowOverlap="1">
                <wp:simplePos x="0" y="0"/>
                <wp:positionH relativeFrom="margin">
                  <wp:posOffset>-99060</wp:posOffset>
                </wp:positionH>
                <wp:positionV relativeFrom="paragraph">
                  <wp:posOffset>-46355</wp:posOffset>
                </wp:positionV>
                <wp:extent cx="5610225" cy="533400"/>
                <wp:effectExtent l="0" t="0" r="28575" b="19050"/>
                <wp:wrapNone/>
                <wp:docPr id="10" name="מלבן מעוגל 10"/>
                <wp:cNvGraphicFramePr/>
                <a:graphic xmlns:a="http://schemas.openxmlformats.org/drawingml/2006/main">
                  <a:graphicData uri="http://schemas.microsoft.com/office/word/2010/wordprocessingShape">
                    <wps:wsp>
                      <wps:cNvSpPr/>
                      <wps:spPr>
                        <a:xfrm>
                          <a:off x="0" y="0"/>
                          <a:ext cx="5610225" cy="533400"/>
                        </a:xfrm>
                        <a:prstGeom prst="round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8B7E0EB" id="מלבן מעוגל 10" o:spid="_x0000_s1026" style="position:absolute;left:0;text-align:left;margin-left:-7.8pt;margin-top:-3.65pt;width:441.75pt;height:42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" fillcolor="#4f81bd [3204]" strokecolor="#243f60 [1604]" strokeweight="2pt">
                <v:fill opacity="19789f"/>
                <w10:wrap anchorx="margin"/>
              </v:roundrect>
            </w:pict>
          </mc:Fallback>
        </mc:AlternateContent>
      </w:r>
      <w:r>
        <w:rPr>
          <w:rFonts w:ascii="Arial" w:hAnsi="Arial"/>
          <w:b/>
          <w:bCs/>
          <w:noProof w:val="0"/>
          <w:rtl/>
        </w:rPr>
        <w:t>מסקנה – התובע עמד בנטל המוטל על כתפיו והוכיח כי במועד עריכת הסכם המתנה המנוחה לא הייתה כשירה לביצוע פעולות משפטיות</w:t>
      </w:r>
      <w:r>
        <w:rPr>
          <w:rFonts w:ascii="Arial" w:hAnsi="Arial"/>
          <w:noProof w:val="0"/>
          <w:rtl/>
        </w:rPr>
        <w:t xml:space="preserve">.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בבחינת למעלה מן הצורך, אתייחס לטענות הצדדים ביחס לעסקת מכר שבוצעה ביום 2.6.2015 אך אין חולק כי לא התממשה. בהסכם זה, כמו בהסכמים הנוספים שנערכו לאחר פטירתה של המנוחה ביחס לזכויות בדירה (הסכמי חלוקת העיזבון וכו'), יש לראות כי ד</w:t>
      </w:r>
      <w:r w:rsidR="0036596F">
        <w:rPr>
          <w:rFonts w:ascii="Arial" w:hAnsi="Arial" w:hint="cs"/>
          <w:noProof w:val="0"/>
          <w:rtl/>
        </w:rPr>
        <w:t>'</w:t>
      </w:r>
      <w:r>
        <w:rPr>
          <w:rFonts w:ascii="Arial" w:hAnsi="Arial"/>
          <w:noProof w:val="0"/>
          <w:rtl/>
        </w:rPr>
        <w:t xml:space="preserve"> לא ראה את עצמו או את בנו הנתבע כבעלים של מלוא הזכויות בדירה ומהתנהלותם ניתן ללמוד, כי לא סברו שהסכם המתנה עומד בתוקפו.</w:t>
      </w:r>
    </w:p>
    <w:p w:rsidR="00DB218F" w:rsidRDefault="00DB218F" w:rsidP="00DB218F">
      <w:pPr>
        <w:spacing w:after="120" w:line="360" w:lineRule="auto"/>
        <w:jc w:val="both"/>
        <w:rPr>
          <w:rFonts w:ascii="Arial" w:hAnsi="Arial"/>
          <w:b/>
          <w:bCs/>
          <w:noProof w:val="0"/>
          <w:sz w:val="28"/>
          <w:szCs w:val="28"/>
          <w:u w:val="single"/>
        </w:rPr>
      </w:pPr>
      <w:r>
        <w:rPr>
          <w:rFonts w:ascii="Arial" w:hAnsi="Arial"/>
          <w:b/>
          <w:bCs/>
          <w:noProof w:val="0"/>
          <w:sz w:val="28"/>
          <w:szCs w:val="28"/>
          <w:u w:val="single"/>
          <w:rtl/>
        </w:rPr>
        <w:t>עסקת המכר שלא התממשה</w:t>
      </w:r>
      <w:r>
        <w:rPr>
          <w:rFonts w:ascii="Arial" w:hAnsi="Arial"/>
          <w:noProof w:val="0"/>
          <w:rtl/>
        </w:rPr>
        <w:t xml:space="preserve"> </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sz w:val="28"/>
          <w:szCs w:val="28"/>
        </w:rPr>
      </w:pPr>
      <w:r>
        <w:rPr>
          <w:rFonts w:ascii="Arial" w:hAnsi="Arial"/>
          <w:noProof w:val="0"/>
          <w:rtl/>
        </w:rPr>
        <w:t xml:space="preserve">ביום 2.6.2015 נחתם "הסכם למכירת נכס מקרקעין" למכירת הדירה (להלן: </w:t>
      </w:r>
      <w:r>
        <w:rPr>
          <w:rFonts w:ascii="Arial" w:hAnsi="Arial"/>
          <w:b/>
          <w:bCs/>
          <w:noProof w:val="0"/>
          <w:rtl/>
        </w:rPr>
        <w:t>"הסכם המכר"</w:t>
      </w:r>
      <w:r>
        <w:rPr>
          <w:rFonts w:ascii="Arial" w:hAnsi="Arial"/>
          <w:noProof w:val="0"/>
          <w:rtl/>
        </w:rPr>
        <w:t>). בהסכם המכר נקבע כי המוכרים – ד</w:t>
      </w:r>
      <w:r w:rsidR="0036596F">
        <w:rPr>
          <w:rFonts w:ascii="Arial" w:hAnsi="Arial" w:hint="cs"/>
          <w:noProof w:val="0"/>
          <w:rtl/>
        </w:rPr>
        <w:t>'</w:t>
      </w:r>
      <w:r>
        <w:rPr>
          <w:rFonts w:ascii="Arial" w:hAnsi="Arial"/>
          <w:noProof w:val="0"/>
          <w:rtl/>
        </w:rPr>
        <w:t xml:space="preserve">, </w:t>
      </w:r>
      <w:r w:rsidR="0036596F">
        <w:rPr>
          <w:rFonts w:ascii="Arial" w:hAnsi="Arial" w:hint="cs"/>
          <w:noProof w:val="0"/>
          <w:rtl/>
        </w:rPr>
        <w:t>פ'</w:t>
      </w:r>
      <w:r>
        <w:rPr>
          <w:rFonts w:ascii="Arial" w:hAnsi="Arial"/>
          <w:noProof w:val="0"/>
          <w:rtl/>
        </w:rPr>
        <w:t xml:space="preserve">, התובע ושלושת ילדיו של </w:t>
      </w:r>
      <w:r w:rsidR="0036596F">
        <w:rPr>
          <w:rFonts w:ascii="Arial" w:hAnsi="Arial" w:hint="cs"/>
          <w:noProof w:val="0"/>
          <w:rtl/>
        </w:rPr>
        <w:t>ר'</w:t>
      </w:r>
      <w:r>
        <w:rPr>
          <w:rFonts w:ascii="Arial" w:hAnsi="Arial"/>
          <w:noProof w:val="0"/>
          <w:rtl/>
        </w:rPr>
        <w:t xml:space="preserve"> ז"ל – זכאים להירשם כבעלי זכויות החכירה בדירה, וכי הם מוכרים את הזכויות למר </w:t>
      </w:r>
      <w:r w:rsidR="0036596F">
        <w:rPr>
          <w:rFonts w:ascii="Arial" w:hAnsi="Arial" w:hint="cs"/>
          <w:noProof w:val="0"/>
          <w:rtl/>
        </w:rPr>
        <w:t>י.ג.</w:t>
      </w:r>
      <w:r>
        <w:rPr>
          <w:rFonts w:ascii="Arial" w:hAnsi="Arial"/>
          <w:noProof w:val="0"/>
          <w:rtl/>
        </w:rPr>
        <w:t xml:space="preserve"> (נספח ז' לתצהיר עדותו הראשית של התובע).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בהסכם המכר יוצגו המוכרים על ידי בא כוחו של הנתבע, עו"ד </w:t>
      </w:r>
      <w:r w:rsidR="0036596F">
        <w:rPr>
          <w:rFonts w:ascii="Arial" w:hAnsi="Arial" w:hint="cs"/>
          <w:noProof w:val="0"/>
          <w:rtl/>
        </w:rPr>
        <w:t>כ'</w:t>
      </w:r>
      <w:r>
        <w:rPr>
          <w:rFonts w:ascii="Arial" w:hAnsi="Arial"/>
          <w:noProof w:val="0"/>
          <w:rtl/>
        </w:rPr>
        <w:t xml:space="preserve"> (להלן: </w:t>
      </w:r>
      <w:r>
        <w:rPr>
          <w:rFonts w:ascii="Arial" w:hAnsi="Arial"/>
          <w:b/>
          <w:bCs/>
          <w:noProof w:val="0"/>
          <w:rtl/>
        </w:rPr>
        <w:t>"עו"ד כ</w:t>
      </w:r>
      <w:r w:rsidR="0036596F">
        <w:rPr>
          <w:rFonts w:ascii="Arial" w:hAnsi="Arial" w:hint="cs"/>
          <w:b/>
          <w:bCs/>
          <w:noProof w:val="0"/>
          <w:rtl/>
        </w:rPr>
        <w:t xml:space="preserve">' </w:t>
      </w:r>
      <w:r>
        <w:rPr>
          <w:rFonts w:ascii="Arial" w:hAnsi="Arial"/>
          <w:b/>
          <w:bCs/>
          <w:noProof w:val="0"/>
          <w:rtl/>
        </w:rPr>
        <w:t>"</w:t>
      </w:r>
      <w:r>
        <w:rPr>
          <w:rFonts w:ascii="Arial" w:hAnsi="Arial"/>
          <w:noProof w:val="0"/>
          <w:rtl/>
        </w:rPr>
        <w:t xml:space="preserve">).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במהלך דיון ההוכחות נשאל עו"ד כ</w:t>
      </w:r>
      <w:r w:rsidR="0036596F">
        <w:rPr>
          <w:rFonts w:ascii="Arial" w:hAnsi="Arial" w:hint="cs"/>
          <w:noProof w:val="0"/>
          <w:rtl/>
        </w:rPr>
        <w:t xml:space="preserve">' </w:t>
      </w:r>
      <w:r>
        <w:rPr>
          <w:rFonts w:ascii="Arial" w:hAnsi="Arial"/>
          <w:noProof w:val="0"/>
          <w:rtl/>
        </w:rPr>
        <w:t>על ידי בית המשפט מדוע ערך את הסכם המכר, אם ידע שעל פי הסכם המתנה הנתבע הוא הזכאי לזכויות החכירה בדירה. עו"ד כ</w:t>
      </w:r>
      <w:r w:rsidR="0036596F">
        <w:rPr>
          <w:rFonts w:ascii="Arial" w:hAnsi="Arial" w:hint="cs"/>
          <w:noProof w:val="0"/>
          <w:rtl/>
        </w:rPr>
        <w:t>'</w:t>
      </w:r>
      <w:r>
        <w:rPr>
          <w:rFonts w:ascii="Arial" w:hAnsi="Arial"/>
          <w:noProof w:val="0"/>
          <w:rtl/>
        </w:rPr>
        <w:t xml:space="preserve"> השיב, כי במועד עריכת הסכם המכר הוא לא ידע על הסכם המתנה, גם ד</w:t>
      </w:r>
      <w:r w:rsidR="0036596F">
        <w:rPr>
          <w:rFonts w:ascii="Arial" w:hAnsi="Arial" w:hint="cs"/>
          <w:noProof w:val="0"/>
          <w:rtl/>
        </w:rPr>
        <w:t>'</w:t>
      </w:r>
      <w:r>
        <w:rPr>
          <w:rFonts w:ascii="Arial" w:hAnsi="Arial"/>
          <w:noProof w:val="0"/>
          <w:rtl/>
        </w:rPr>
        <w:t xml:space="preserve"> לא ידע על הסכם המתנה בשלב זה והנתבע שהה בחו"ל (פרוטוקול הדיון מיום 18.2.2024, עמ' 106, שו' 4 – עמ' 107, שו' 34).</w:t>
      </w:r>
    </w:p>
    <w:p w:rsidR="00DB218F" w:rsidRDefault="00DB218F" w:rsidP="0036596F">
      <w:pPr>
        <w:pStyle w:val="a9"/>
        <w:spacing w:after="240" w:line="360" w:lineRule="auto"/>
        <w:ind w:left="0" w:firstLine="720"/>
        <w:contextualSpacing w:val="0"/>
        <w:jc w:val="both"/>
        <w:rPr>
          <w:rFonts w:ascii="Arial" w:hAnsi="Arial"/>
          <w:noProof w:val="0"/>
        </w:rPr>
      </w:pPr>
      <w:r>
        <w:rPr>
          <w:rFonts w:ascii="Arial" w:hAnsi="Arial"/>
          <w:noProof w:val="0"/>
          <w:rtl/>
        </w:rPr>
        <w:t xml:space="preserve">הטענה של עו"ד </w:t>
      </w:r>
      <w:r w:rsidR="0036596F">
        <w:rPr>
          <w:rFonts w:ascii="Arial" w:hAnsi="Arial" w:hint="cs"/>
          <w:noProof w:val="0"/>
          <w:rtl/>
        </w:rPr>
        <w:t>כ'</w:t>
      </w:r>
      <w:r>
        <w:rPr>
          <w:rFonts w:ascii="Arial" w:hAnsi="Arial"/>
          <w:noProof w:val="0"/>
          <w:rtl/>
        </w:rPr>
        <w:t xml:space="preserve"> כי ד</w:t>
      </w:r>
      <w:r w:rsidR="0036596F">
        <w:rPr>
          <w:rFonts w:ascii="Arial" w:hAnsi="Arial" w:hint="cs"/>
          <w:noProof w:val="0"/>
          <w:rtl/>
        </w:rPr>
        <w:t>'</w:t>
      </w:r>
      <w:r>
        <w:rPr>
          <w:rFonts w:ascii="Arial" w:hAnsi="Arial"/>
          <w:noProof w:val="0"/>
          <w:rtl/>
        </w:rPr>
        <w:t xml:space="preserve"> לא ידע על הסכם המתנה במועד עריכת הסכם המכר אינה עולה בקנה אחד עם עדויותיהם של הנתבע ו</w:t>
      </w:r>
      <w:r w:rsidR="0036596F">
        <w:rPr>
          <w:rFonts w:ascii="Arial" w:hAnsi="Arial" w:hint="cs"/>
          <w:noProof w:val="0"/>
          <w:rtl/>
        </w:rPr>
        <w:t>-</w:t>
      </w:r>
      <w:r>
        <w:rPr>
          <w:rFonts w:ascii="Arial" w:hAnsi="Arial"/>
          <w:noProof w:val="0"/>
          <w:rtl/>
        </w:rPr>
        <w:t>ד</w:t>
      </w:r>
      <w:r w:rsidR="0036596F">
        <w:rPr>
          <w:rFonts w:ascii="Arial" w:hAnsi="Arial" w:hint="cs"/>
          <w:noProof w:val="0"/>
          <w:rtl/>
        </w:rPr>
        <w:t>'</w:t>
      </w:r>
      <w:r>
        <w:rPr>
          <w:rFonts w:ascii="Arial" w:hAnsi="Arial"/>
          <w:noProof w:val="0"/>
          <w:rtl/>
        </w:rPr>
        <w:t>. והרי על פי עדותו של הנתבע, ד</w:t>
      </w:r>
      <w:r w:rsidR="0036596F">
        <w:rPr>
          <w:rFonts w:ascii="Arial" w:hAnsi="Arial" w:hint="cs"/>
          <w:noProof w:val="0"/>
          <w:rtl/>
        </w:rPr>
        <w:t>'</w:t>
      </w:r>
      <w:r>
        <w:rPr>
          <w:rFonts w:ascii="Arial" w:hAnsi="Arial"/>
          <w:noProof w:val="0"/>
          <w:rtl/>
        </w:rPr>
        <w:t xml:space="preserve"> הוא זה שסיפר לו על רצונה של המנוחה להעניק לו את הזכויות בדירה במתנה, והוא אף זה שהכיר את עו"ד ר</w:t>
      </w:r>
      <w:r w:rsidR="0036596F">
        <w:rPr>
          <w:rFonts w:ascii="Arial" w:hAnsi="Arial" w:hint="cs"/>
          <w:noProof w:val="0"/>
          <w:rtl/>
        </w:rPr>
        <w:t>'</w:t>
      </w:r>
      <w:r>
        <w:rPr>
          <w:rFonts w:ascii="Arial" w:hAnsi="Arial"/>
          <w:noProof w:val="0"/>
          <w:rtl/>
        </w:rPr>
        <w:t xml:space="preserve"> ופנה אליו שיטפל בעניין.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לעומת זאת, כשנשאל ד</w:t>
      </w:r>
      <w:r w:rsidR="0036596F">
        <w:rPr>
          <w:rFonts w:ascii="Arial" w:hAnsi="Arial" w:hint="cs"/>
          <w:noProof w:val="0"/>
          <w:rtl/>
        </w:rPr>
        <w:t>'</w:t>
      </w:r>
      <w:r>
        <w:rPr>
          <w:rFonts w:ascii="Arial" w:hAnsi="Arial"/>
          <w:noProof w:val="0"/>
          <w:rtl/>
        </w:rPr>
        <w:t xml:space="preserve"> כיצד טענתו שהדירה שייכת לנתבע עולה בקנה אחד עם חתימתו על הסכם המכר ועל הסכמי חלוקת העזבון – השיב שהיה במצב אישי ונפשי לא טוב ולא זכר את הסכם המתנה </w:t>
      </w:r>
      <w:r>
        <w:rPr>
          <w:rFonts w:ascii="Arial" w:hAnsi="Arial"/>
          <w:b/>
          <w:bCs/>
          <w:noProof w:val="0"/>
          <w:rtl/>
        </w:rPr>
        <w:t>עת חתם על אותם הסכמים מאוחרים</w:t>
      </w:r>
      <w:r>
        <w:rPr>
          <w:rFonts w:ascii="Arial" w:hAnsi="Arial"/>
          <w:noProof w:val="0"/>
          <w:rtl/>
        </w:rPr>
        <w:t xml:space="preserve"> (פרוטוקול הדיון מיום 18.2.2024, עמ' 158, שו' 2-1; עמ' 161, שו' 21-12; עמ' 166, שו' 26-21). ד</w:t>
      </w:r>
      <w:r w:rsidR="0036596F">
        <w:rPr>
          <w:rFonts w:ascii="Arial" w:hAnsi="Arial" w:hint="cs"/>
          <w:noProof w:val="0"/>
          <w:rtl/>
        </w:rPr>
        <w:t>'</w:t>
      </w:r>
      <w:r>
        <w:rPr>
          <w:rFonts w:ascii="Arial" w:hAnsi="Arial"/>
          <w:noProof w:val="0"/>
          <w:rtl/>
        </w:rPr>
        <w:t xml:space="preserve"> גם העיד, כי חתם על הסכם המכר מיד עם שובו מחו"ל </w:t>
      </w:r>
      <w:r>
        <w:rPr>
          <w:rFonts w:ascii="Arial" w:hAnsi="Arial"/>
          <w:noProof w:val="0"/>
          <w:rtl/>
        </w:rPr>
        <w:lastRenderedPageBreak/>
        <w:t>בעקבות פנייה טלפונית דחופה שעשה אליו התובע. באותו מועד הוא לא זכר את הסכם המתנה, ולו היה זוכר מקיומו לא היה חותם על הסכם המכר (פרוטוקול הדיון מיום 18.2.2024, עמ' 188, שו' 18 - עמ' 189, שו' 2).</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חרף זאת, את נטילת המשכנתה על הדירה זכר בוודאי ד</w:t>
      </w:r>
      <w:r w:rsidR="0036596F">
        <w:rPr>
          <w:rFonts w:ascii="Arial" w:hAnsi="Arial" w:hint="cs"/>
          <w:noProof w:val="0"/>
          <w:rtl/>
        </w:rPr>
        <w:t>'</w:t>
      </w:r>
      <w:r>
        <w:rPr>
          <w:rFonts w:ascii="Arial" w:hAnsi="Arial"/>
          <w:noProof w:val="0"/>
          <w:rtl/>
        </w:rPr>
        <w:t xml:space="preserve">, שהרי נתקל בבטוחה זו מידי שנה במסגרת הדוחות הכספיים של חברת </w:t>
      </w:r>
      <w:r w:rsidR="0036596F">
        <w:rPr>
          <w:rFonts w:ascii="Arial" w:hAnsi="Arial" w:hint="cs"/>
          <w:noProof w:val="0"/>
          <w:rtl/>
        </w:rPr>
        <w:t>כ'</w:t>
      </w:r>
      <w:r>
        <w:rPr>
          <w:rFonts w:ascii="Arial" w:hAnsi="Arial"/>
          <w:noProof w:val="0"/>
          <w:rtl/>
        </w:rPr>
        <w:t xml:space="preserve"> שבבעלותו (פרוטוקול הדיון מיום 18.2.2024, עמ' 195, שו' 25-10). כשנשאל ד</w:t>
      </w:r>
      <w:r w:rsidR="0036596F">
        <w:rPr>
          <w:rFonts w:ascii="Arial" w:hAnsi="Arial" w:hint="cs"/>
          <w:noProof w:val="0"/>
          <w:rtl/>
        </w:rPr>
        <w:t>'</w:t>
      </w:r>
      <w:r>
        <w:rPr>
          <w:rFonts w:ascii="Arial" w:hAnsi="Arial"/>
          <w:noProof w:val="0"/>
          <w:rtl/>
        </w:rPr>
        <w:t xml:space="preserve"> על נטילת המשכנתה על ידי חברת </w:t>
      </w:r>
      <w:r w:rsidR="0036596F">
        <w:rPr>
          <w:rFonts w:ascii="Arial" w:hAnsi="Arial" w:hint="cs"/>
          <w:noProof w:val="0"/>
          <w:rtl/>
        </w:rPr>
        <w:t>כ'</w:t>
      </w:r>
      <w:r>
        <w:rPr>
          <w:rFonts w:ascii="Arial" w:hAnsi="Arial"/>
          <w:noProof w:val="0"/>
          <w:rtl/>
        </w:rPr>
        <w:t xml:space="preserve"> הסביר, כי המנוחה התייחסה לדירה כאילו הדירה שלו ולכן יכול היה למשכן אותה לבנק כרצונו (פרוטוקול הדיון מיום 18.2.2024, עמ' 162, שו' 31-5): </w:t>
      </w:r>
    </w:p>
    <w:p w:rsidR="00DB218F" w:rsidRDefault="0036596F" w:rsidP="00DB218F">
      <w:pPr>
        <w:pStyle w:val="a9"/>
        <w:ind w:left="141"/>
        <w:jc w:val="both"/>
        <w:rPr>
          <w:rFonts w:ascii="Arial" w:hAnsi="Arial"/>
          <w:noProof w:val="0"/>
          <w:rtl/>
        </w:rPr>
      </w:pPr>
      <w:r w:rsidRPr="0036596F">
        <w:rPr>
          <w:rFonts w:ascii="Arial" w:hAnsi="Arial"/>
          <w:rtl/>
        </w:rPr>
        <w:drawing>
          <wp:inline distT="0" distB="0" distL="0" distR="0" wp14:anchorId="5D44690B" wp14:editId="4B59AA45">
            <wp:extent cx="5400675" cy="659765"/>
            <wp:effectExtent l="0" t="0" r="9525" b="6985"/>
            <wp:docPr id="61" name="תמונה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00675" cy="659765"/>
                    </a:xfrm>
                    <a:prstGeom prst="rect">
                      <a:avLst/>
                    </a:prstGeom>
                  </pic:spPr>
                </pic:pic>
              </a:graphicData>
            </a:graphic>
          </wp:inline>
        </w:drawing>
      </w:r>
    </w:p>
    <w:p w:rsidR="00DB218F" w:rsidRDefault="00DB218F" w:rsidP="00DB218F">
      <w:pPr>
        <w:pStyle w:val="a9"/>
        <w:ind w:left="0"/>
        <w:jc w:val="both"/>
        <w:rPr>
          <w:rFonts w:ascii="Arial" w:hAnsi="Arial"/>
          <w:noProof w:val="0"/>
          <w:rtl/>
        </w:rPr>
      </w:pPr>
      <w:r>
        <w:rPr>
          <w:rFonts w:ascii="Arial" w:hAnsi="Arial"/>
          <w:noProof w:val="0"/>
          <w:rtl/>
        </w:rPr>
        <w:t xml:space="preserve">              ...</w:t>
      </w:r>
    </w:p>
    <w:p w:rsidR="00DB218F" w:rsidRDefault="00DB218F" w:rsidP="00DB218F">
      <w:pPr>
        <w:pStyle w:val="a9"/>
        <w:ind w:left="0"/>
        <w:jc w:val="both"/>
        <w:rPr>
          <w:rFonts w:ascii="Arial" w:hAnsi="Arial"/>
          <w:noProof w:val="0"/>
          <w:rtl/>
        </w:rPr>
      </w:pPr>
    </w:p>
    <w:p w:rsidR="00DB218F" w:rsidRDefault="0036596F" w:rsidP="0036596F">
      <w:pPr>
        <w:pStyle w:val="a9"/>
        <w:spacing w:after="240" w:line="360" w:lineRule="auto"/>
        <w:ind w:left="142"/>
        <w:contextualSpacing w:val="0"/>
        <w:jc w:val="both"/>
        <w:rPr>
          <w:rFonts w:ascii="Arial" w:hAnsi="Arial"/>
          <w:noProof w:val="0"/>
          <w:rtl/>
        </w:rPr>
      </w:pPr>
      <w:r w:rsidRPr="0036596F">
        <w:rPr>
          <w:rFonts w:ascii="Arial" w:hAnsi="Arial"/>
          <w:rtl/>
        </w:rPr>
        <w:drawing>
          <wp:inline distT="0" distB="0" distL="0" distR="0" wp14:anchorId="2BE01BC9" wp14:editId="684E667D">
            <wp:extent cx="5400675" cy="726440"/>
            <wp:effectExtent l="0" t="0" r="9525" b="0"/>
            <wp:docPr id="62" name="תמונה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0675" cy="726440"/>
                    </a:xfrm>
                    <a:prstGeom prst="rect">
                      <a:avLst/>
                    </a:prstGeom>
                  </pic:spPr>
                </pic:pic>
              </a:graphicData>
            </a:graphic>
          </wp:inline>
        </w:drawing>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rPr>
      </w:pPr>
      <w:r>
        <w:rPr>
          <w:rFonts w:ascii="Arial" w:hAnsi="Arial"/>
          <w:noProof w:val="0"/>
          <w:rtl/>
        </w:rPr>
        <w:t>יתרה מזו, הנתבע העיד, כי לא קיבל את דמי השכירות שהתקבלו עבור הדירה. לבקשת ד</w:t>
      </w:r>
      <w:r w:rsidR="0036596F">
        <w:rPr>
          <w:rFonts w:ascii="Arial" w:hAnsi="Arial" w:hint="cs"/>
          <w:noProof w:val="0"/>
          <w:rtl/>
        </w:rPr>
        <w:t>'</w:t>
      </w:r>
      <w:r>
        <w:rPr>
          <w:rFonts w:ascii="Arial" w:hAnsi="Arial"/>
          <w:noProof w:val="0"/>
          <w:rtl/>
        </w:rPr>
        <w:t>, הסכים הנתבע שהכספים יועברו לידי התובע לנוכח מצבו הכלכלי. העניין נדון בין ד</w:t>
      </w:r>
      <w:r w:rsidR="0036596F">
        <w:rPr>
          <w:rFonts w:ascii="Arial" w:hAnsi="Arial" w:hint="cs"/>
          <w:noProof w:val="0"/>
          <w:rtl/>
        </w:rPr>
        <w:t>'</w:t>
      </w:r>
      <w:r>
        <w:rPr>
          <w:rFonts w:ascii="Arial" w:hAnsi="Arial"/>
          <w:noProof w:val="0"/>
          <w:rtl/>
        </w:rPr>
        <w:t xml:space="preserve"> לבין הנתבע סביב השנים 2015-2014 (פרוטוקול הדיון 218, שו' 29 – עמ' 219, שו' 30). </w:t>
      </w:r>
      <w:r>
        <w:rPr>
          <w:rFonts w:ascii="Arial" w:hAnsi="Arial"/>
          <w:b/>
          <w:bCs/>
          <w:noProof w:val="0"/>
          <w:rtl/>
        </w:rPr>
        <w:t>אם כך, לא ברור כיצד טען ד</w:t>
      </w:r>
      <w:r w:rsidR="0036596F">
        <w:rPr>
          <w:rFonts w:ascii="Arial" w:hAnsi="Arial" w:hint="cs"/>
          <w:b/>
          <w:bCs/>
          <w:noProof w:val="0"/>
          <w:rtl/>
        </w:rPr>
        <w:t>'</w:t>
      </w:r>
      <w:r>
        <w:rPr>
          <w:rFonts w:ascii="Arial" w:hAnsi="Arial"/>
          <w:b/>
          <w:bCs/>
          <w:noProof w:val="0"/>
          <w:rtl/>
        </w:rPr>
        <w:t xml:space="preserve"> שלא זכר את הסכם המתנה סביב אותם שנים. הפתרונים בעניין לו.</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u w:val="single"/>
        </w:rPr>
      </w:pPr>
      <w:r>
        <w:rPr>
          <w:rFonts w:ascii="Arial" w:hAnsi="Arial"/>
          <w:noProof w:val="0"/>
          <w:rtl/>
        </w:rPr>
        <w:t>בניגוד לטענת עו"ד כ</w:t>
      </w:r>
      <w:r w:rsidR="0036596F">
        <w:rPr>
          <w:rFonts w:ascii="Arial" w:hAnsi="Arial" w:hint="cs"/>
          <w:noProof w:val="0"/>
          <w:rtl/>
        </w:rPr>
        <w:t>'</w:t>
      </w:r>
      <w:r>
        <w:rPr>
          <w:rFonts w:ascii="Arial" w:hAnsi="Arial"/>
          <w:noProof w:val="0"/>
          <w:rtl/>
        </w:rPr>
        <w:t xml:space="preserve"> שלפיה שהה הנתבע בחו"ל במועד עריכת הסכם המכר, הנתבע העיד כי הוא שהה בחו"ל לתקופות ארוכות במהלך השנים 2013-2010 (ולא במועד עריכת הסכם המכר). הפעם הראשונה שפנה לעו"ד כ</w:t>
      </w:r>
      <w:r w:rsidR="0036596F">
        <w:rPr>
          <w:rFonts w:ascii="Arial" w:hAnsi="Arial" w:hint="cs"/>
          <w:noProof w:val="0"/>
          <w:rtl/>
        </w:rPr>
        <w:t>'</w:t>
      </w:r>
      <w:r>
        <w:rPr>
          <w:rFonts w:ascii="Arial" w:hAnsi="Arial"/>
          <w:noProof w:val="0"/>
          <w:rtl/>
        </w:rPr>
        <w:t xml:space="preserve"> לקבל ייעוץ משפטי בעניין הדירה הייתה בשנים 2015-2014, כאשר </w:t>
      </w:r>
      <w:r w:rsidR="0036596F">
        <w:rPr>
          <w:rFonts w:ascii="Arial" w:hAnsi="Arial" w:hint="cs"/>
          <w:noProof w:val="0"/>
          <w:rtl/>
        </w:rPr>
        <w:t>פ'</w:t>
      </w:r>
      <w:r>
        <w:rPr>
          <w:rFonts w:ascii="Arial" w:hAnsi="Arial"/>
          <w:noProof w:val="0"/>
          <w:rtl/>
        </w:rPr>
        <w:t xml:space="preserve"> פנה אליו ואמר לו שהוא מבין שהדירה שלו, ושהוא מעוניין לנסות לשמור על היחסים במשפחה ולהגיע לפשרה (פרוטוקול הדיון מיום 18.2.2024, עמ' 95, שו' 16-9; עמ' 101, שו' 2-1). אם כך, לא ברור כיצד טען הנתבע ש</w:t>
      </w:r>
      <w:r w:rsidR="0036596F">
        <w:rPr>
          <w:rFonts w:ascii="Arial" w:hAnsi="Arial" w:hint="cs"/>
          <w:noProof w:val="0"/>
          <w:rtl/>
        </w:rPr>
        <w:t>-</w:t>
      </w:r>
      <w:r>
        <w:rPr>
          <w:rFonts w:ascii="Arial" w:hAnsi="Arial"/>
          <w:noProof w:val="0"/>
          <w:rtl/>
        </w:rPr>
        <w:t>ד</w:t>
      </w:r>
      <w:r w:rsidR="0036596F">
        <w:rPr>
          <w:rFonts w:ascii="Arial" w:hAnsi="Arial" w:hint="cs"/>
          <w:noProof w:val="0"/>
          <w:rtl/>
        </w:rPr>
        <w:t>'</w:t>
      </w:r>
      <w:r>
        <w:rPr>
          <w:rFonts w:ascii="Arial" w:hAnsi="Arial"/>
          <w:noProof w:val="0"/>
          <w:rtl/>
        </w:rPr>
        <w:t xml:space="preserve"> לא שיתף אותו על אודות הסכם המכר או בנוגע להסכמי חלוקת העיזבון, וכי נודע לו על הסכמים אלה רק בעקבות הגשת התביעה (פרוטוקול הדיון מיום 18.2.2024, עמ' 207, שו' 31-24).</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u w:val="single"/>
        </w:rPr>
      </w:pPr>
      <w:r>
        <w:rPr>
          <w:rFonts w:ascii="Arial" w:hAnsi="Arial"/>
          <w:noProof w:val="0"/>
          <w:rtl/>
        </w:rPr>
        <w:t xml:space="preserve">הנתבע בעצמו העיד כי </w:t>
      </w:r>
      <w:r>
        <w:rPr>
          <w:rFonts w:ascii="Arial" w:hAnsi="Arial"/>
          <w:b/>
          <w:bCs/>
          <w:noProof w:val="0"/>
          <w:rtl/>
        </w:rPr>
        <w:t>"</w:t>
      </w:r>
      <w:r w:rsidR="0036596F">
        <w:rPr>
          <w:rFonts w:ascii="Arial" w:hAnsi="Arial" w:hint="cs"/>
          <w:b/>
          <w:bCs/>
          <w:noProof w:val="0"/>
          <w:rtl/>
        </w:rPr>
        <w:t>פ'</w:t>
      </w:r>
      <w:r w:rsidR="0036596F">
        <w:rPr>
          <w:rFonts w:ascii="Arial" w:hAnsi="Arial"/>
          <w:b/>
          <w:bCs/>
          <w:noProof w:val="0"/>
          <w:rtl/>
        </w:rPr>
        <w:t>, ד</w:t>
      </w:r>
      <w:r w:rsidR="0036596F">
        <w:rPr>
          <w:rFonts w:ascii="Arial" w:hAnsi="Arial" w:hint="cs"/>
          <w:b/>
          <w:bCs/>
          <w:noProof w:val="0"/>
          <w:rtl/>
        </w:rPr>
        <w:t>'</w:t>
      </w:r>
      <w:r>
        <w:rPr>
          <w:rFonts w:ascii="Arial" w:hAnsi="Arial"/>
          <w:b/>
          <w:bCs/>
          <w:noProof w:val="0"/>
          <w:rtl/>
        </w:rPr>
        <w:t xml:space="preserve"> ו</w:t>
      </w:r>
      <w:r w:rsidR="0036596F">
        <w:rPr>
          <w:rFonts w:ascii="Arial" w:hAnsi="Arial" w:hint="cs"/>
          <w:b/>
          <w:bCs/>
          <w:noProof w:val="0"/>
          <w:rtl/>
        </w:rPr>
        <w:t>-י.פ.</w:t>
      </w:r>
      <w:r>
        <w:rPr>
          <w:rFonts w:ascii="Arial" w:hAnsi="Arial"/>
          <w:b/>
          <w:bCs/>
          <w:noProof w:val="0"/>
          <w:rtl/>
        </w:rPr>
        <w:t xml:space="preserve"> ביניהם מתנהגים כמו נוכלים"</w:t>
      </w:r>
      <w:r>
        <w:rPr>
          <w:rFonts w:ascii="Arial" w:hAnsi="Arial"/>
          <w:noProof w:val="0"/>
          <w:rtl/>
        </w:rPr>
        <w:t xml:space="preserve"> (פרוטוקול הדיון מיום 18.2.2024, עמ' 93, שו' 24-14).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עו"ד כ</w:t>
      </w:r>
      <w:r w:rsidR="0036596F">
        <w:rPr>
          <w:rFonts w:ascii="Arial" w:hAnsi="Arial" w:hint="cs"/>
          <w:noProof w:val="0"/>
          <w:rtl/>
        </w:rPr>
        <w:t>'</w:t>
      </w:r>
      <w:r>
        <w:rPr>
          <w:rFonts w:ascii="Arial" w:hAnsi="Arial"/>
          <w:noProof w:val="0"/>
          <w:rtl/>
        </w:rPr>
        <w:t xml:space="preserve"> העיד שהנתבע ו</w:t>
      </w:r>
      <w:r w:rsidR="0036596F">
        <w:rPr>
          <w:rFonts w:ascii="Arial" w:hAnsi="Arial" w:hint="cs"/>
          <w:noProof w:val="0"/>
          <w:rtl/>
        </w:rPr>
        <w:t>-</w:t>
      </w:r>
      <w:r>
        <w:rPr>
          <w:rFonts w:ascii="Arial" w:hAnsi="Arial"/>
          <w:noProof w:val="0"/>
          <w:rtl/>
        </w:rPr>
        <w:t>ד</w:t>
      </w:r>
      <w:r w:rsidR="0036596F">
        <w:rPr>
          <w:rFonts w:ascii="Arial" w:hAnsi="Arial" w:hint="cs"/>
          <w:noProof w:val="0"/>
          <w:rtl/>
        </w:rPr>
        <w:t>'</w:t>
      </w:r>
      <w:r>
        <w:rPr>
          <w:rFonts w:ascii="Arial" w:hAnsi="Arial"/>
          <w:noProof w:val="0"/>
          <w:rtl/>
        </w:rPr>
        <w:t xml:space="preserve"> לצורך הדירה הם "יד אחת" (פרוטוקול הדיון מיום 18.2.2024, עמ' 108, שו' 10-6):</w:t>
      </w:r>
    </w:p>
    <w:p w:rsidR="00DB218F" w:rsidRDefault="0036596F" w:rsidP="0036596F">
      <w:pPr>
        <w:pStyle w:val="a9"/>
        <w:spacing w:after="240" w:line="360" w:lineRule="auto"/>
        <w:ind w:left="142"/>
        <w:contextualSpacing w:val="0"/>
        <w:jc w:val="both"/>
        <w:rPr>
          <w:rFonts w:ascii="Arial" w:hAnsi="Arial"/>
          <w:b/>
          <w:bCs/>
          <w:noProof w:val="0"/>
          <w:u w:val="single"/>
          <w:rtl/>
        </w:rPr>
      </w:pPr>
      <w:r w:rsidRPr="0036596F">
        <w:rPr>
          <w:rFonts w:ascii="Arial" w:hAnsi="Arial"/>
          <w:b/>
          <w:bCs/>
          <w:rtl/>
        </w:rPr>
        <w:lastRenderedPageBreak/>
        <w:drawing>
          <wp:inline distT="0" distB="0" distL="0" distR="0" wp14:anchorId="45FA5FB6" wp14:editId="666C1406">
            <wp:extent cx="5400675" cy="1513205"/>
            <wp:effectExtent l="0" t="0" r="9525" b="0"/>
            <wp:docPr id="63" name="תמונה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00675" cy="1513205"/>
                    </a:xfrm>
                    <a:prstGeom prst="rect">
                      <a:avLst/>
                    </a:prstGeom>
                  </pic:spPr>
                </pic:pic>
              </a:graphicData>
            </a:graphic>
          </wp:inline>
        </w:drawing>
      </w:r>
    </w:p>
    <w:p w:rsidR="00DB218F" w:rsidRDefault="00DB218F" w:rsidP="0036596F">
      <w:pPr>
        <w:pStyle w:val="a9"/>
        <w:spacing w:after="240" w:line="360" w:lineRule="auto"/>
        <w:ind w:left="0" w:firstLine="720"/>
        <w:contextualSpacing w:val="0"/>
        <w:jc w:val="both"/>
        <w:rPr>
          <w:rFonts w:ascii="Arial" w:hAnsi="Arial"/>
          <w:noProof w:val="0"/>
        </w:rPr>
      </w:pPr>
      <w:r>
        <w:rPr>
          <w:rFonts w:ascii="Arial" w:hAnsi="Arial"/>
          <w:noProof w:val="0"/>
          <w:rtl/>
        </w:rPr>
        <w:t>מההתנהלות האמורה עולה הרושם, כי הנתבע ו</w:t>
      </w:r>
      <w:r w:rsidR="0036596F">
        <w:rPr>
          <w:rFonts w:ascii="Arial" w:hAnsi="Arial" w:hint="cs"/>
          <w:noProof w:val="0"/>
          <w:rtl/>
        </w:rPr>
        <w:t>-ד'</w:t>
      </w:r>
      <w:r>
        <w:rPr>
          <w:rFonts w:ascii="Arial" w:hAnsi="Arial"/>
          <w:noProof w:val="0"/>
          <w:rtl/>
        </w:rPr>
        <w:t xml:space="preserve"> בוחרים מתי יש לראותם "כיד אחת" בכל הקשור לדירה ומתי יכול הנתבע להתנער מפעולותיו של ד</w:t>
      </w:r>
      <w:r w:rsidR="0036596F">
        <w:rPr>
          <w:rFonts w:ascii="Arial" w:hAnsi="Arial" w:hint="cs"/>
          <w:noProof w:val="0"/>
          <w:rtl/>
        </w:rPr>
        <w:t>'</w:t>
      </w:r>
      <w:r>
        <w:rPr>
          <w:rFonts w:ascii="Arial" w:hAnsi="Arial"/>
          <w:noProof w:val="0"/>
          <w:rtl/>
        </w:rPr>
        <w:t>, והכל לפי האינטרס אשר עומד על הפרק באותו המועד. כך למשל, כאשר היה צורך להשתמש בדירה כבטוחה היו הם יד אחת. לעומת זאת, כאשר יש לקיים הסכמים עליהם חתם ד</w:t>
      </w:r>
      <w:r w:rsidR="0036596F">
        <w:rPr>
          <w:rFonts w:ascii="Arial" w:hAnsi="Arial" w:hint="cs"/>
          <w:noProof w:val="0"/>
          <w:rtl/>
        </w:rPr>
        <w:t>'</w:t>
      </w:r>
      <w:r>
        <w:rPr>
          <w:rFonts w:ascii="Arial" w:hAnsi="Arial"/>
          <w:noProof w:val="0"/>
          <w:rtl/>
        </w:rPr>
        <w:t xml:space="preserve">, הנתבע אינו מחויב להם. כך או אחרת, וכפי שהובהר איני נדרשת להכרעה בעניין תוקפם של הסכמים מאוחרים להסכם המתנה, וזאת בשים לב לבחירת אופן הגשת התביעה וניהולה כנגד הנתבע בלבד.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עם זאת, יאמר כי התרשמתי מהעדויות, שגם בשלב הסכם המכר ידעו כל בני המשפחה שבנדון על הסכם המתנה, ובכל זאת בחרו לחתום על הסכם המכר. כלומר, גם בני המשפחה לא ראו את הנתבע כמי שזכאי לקבל את זכויות החכירה בדירה, חרף הסכם המתנה.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אם לא די בכל האמור, הנתבע גם העיד שכשאר הוא ניסה להשתתף במכרז של המחיר למשתכן הוא הצהיר כי אין לו דירה. כשנשאל מדוע הצהיר כך אם סבור שהדירה היא שלו, הסביר שבגלל שלא ידע מה יהיו תוצאות ההליך המשפטי דנן בחר להצהיר כך, ולנסות ולדאוג לקורת גג לו ולאשתו (פרוטוקול הדיון מיום 18.2.2024, עמ' 206, שו' 30-1).</w:t>
      </w:r>
    </w:p>
    <w:p w:rsidR="00DB218F" w:rsidRDefault="0036596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כמו כן, ד</w:t>
      </w:r>
      <w:r>
        <w:rPr>
          <w:rFonts w:ascii="Arial" w:hAnsi="Arial" w:hint="cs"/>
          <w:noProof w:val="0"/>
          <w:rtl/>
        </w:rPr>
        <w:t>'</w:t>
      </w:r>
      <w:r w:rsidR="00DB218F">
        <w:rPr>
          <w:rFonts w:ascii="Arial" w:hAnsi="Arial"/>
          <w:noProof w:val="0"/>
          <w:rtl/>
        </w:rPr>
        <w:t xml:space="preserve"> העיד כי ביום האחרון שבו ישבו שבעה על המנוחה הוא הודיע לאחיו, שהדירה היא למעשה שלו והוא קיבל אותה מהמנוחה. אך הוא לא ציין בפניהם כי נחתם הסכם המתנה אלא כי הוא שקיבל את הדירה מהמנוחה (פרוטוקול הדיון מיום 18.2.2024, עמ' 183, שו' 18-11). </w:t>
      </w:r>
    </w:p>
    <w:p w:rsidR="00DB218F" w:rsidRDefault="00DB218F" w:rsidP="0036596F">
      <w:pPr>
        <w:pStyle w:val="a9"/>
        <w:numPr>
          <w:ilvl w:val="0"/>
          <w:numId w:val="4"/>
        </w:numPr>
        <w:spacing w:after="240" w:line="360" w:lineRule="auto"/>
        <w:ind w:left="0" w:firstLine="0"/>
        <w:contextualSpacing w:val="0"/>
        <w:jc w:val="both"/>
        <w:rPr>
          <w:rFonts w:ascii="Arial" w:hAnsi="Arial"/>
          <w:b/>
          <w:bCs/>
          <w:noProof w:val="0"/>
        </w:rPr>
      </w:pPr>
      <w:r>
        <w:rPr>
          <w:rFonts w:ascii="Arial" w:hAnsi="Arial"/>
          <w:b/>
          <w:bCs/>
          <w:noProof w:val="0"/>
          <w:rtl/>
        </w:rPr>
        <w:t>הנה כי כן, נוסף על הוכחת היעדר כשרותה של המנוחה במועד עריכת הסכם המתנה, התרשמתי כי הנתבע ו</w:t>
      </w:r>
      <w:r w:rsidR="0036596F">
        <w:rPr>
          <w:rFonts w:ascii="Arial" w:hAnsi="Arial" w:hint="cs"/>
          <w:b/>
          <w:bCs/>
          <w:noProof w:val="0"/>
          <w:rtl/>
        </w:rPr>
        <w:t>-</w:t>
      </w:r>
      <w:r w:rsidR="0036596F">
        <w:rPr>
          <w:rFonts w:ascii="Arial" w:hAnsi="Arial"/>
          <w:b/>
          <w:bCs/>
          <w:noProof w:val="0"/>
          <w:rtl/>
        </w:rPr>
        <w:t>ד</w:t>
      </w:r>
      <w:r w:rsidR="0036596F">
        <w:rPr>
          <w:rFonts w:ascii="Arial" w:hAnsi="Arial" w:hint="cs"/>
          <w:b/>
          <w:bCs/>
          <w:noProof w:val="0"/>
          <w:rtl/>
        </w:rPr>
        <w:t>'</w:t>
      </w:r>
      <w:r>
        <w:rPr>
          <w:rFonts w:ascii="Arial" w:hAnsi="Arial"/>
          <w:b/>
          <w:bCs/>
          <w:noProof w:val="0"/>
          <w:rtl/>
        </w:rPr>
        <w:t xml:space="preserve"> התנהלו כמי שאינם עומדים על תוקפו של הסכם המתנה. </w:t>
      </w:r>
    </w:p>
    <w:p w:rsidR="00DB218F" w:rsidRDefault="00DB218F" w:rsidP="0036596F">
      <w:pPr>
        <w:pStyle w:val="a9"/>
        <w:spacing w:after="240" w:line="360" w:lineRule="auto"/>
        <w:ind w:left="0"/>
        <w:contextualSpacing w:val="0"/>
        <w:jc w:val="both"/>
        <w:rPr>
          <w:rFonts w:ascii="Arial" w:hAnsi="Arial"/>
          <w:b/>
          <w:bCs/>
          <w:noProof w:val="0"/>
          <w:sz w:val="28"/>
          <w:szCs w:val="28"/>
          <w:u w:val="single"/>
        </w:rPr>
      </w:pPr>
      <w:r>
        <w:rPr>
          <w:rFonts w:ascii="Arial" w:hAnsi="Arial"/>
          <w:b/>
          <w:bCs/>
          <w:noProof w:val="0"/>
          <w:sz w:val="28"/>
          <w:szCs w:val="28"/>
          <w:u w:val="single"/>
          <w:rtl/>
        </w:rPr>
        <w:t>אחרית דבר</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tl/>
        </w:rPr>
      </w:pPr>
      <w:r>
        <w:rPr>
          <w:rFonts w:ascii="Arial" w:hAnsi="Arial"/>
          <w:noProof w:val="0"/>
          <w:rtl/>
        </w:rPr>
        <w:t xml:space="preserve">התובע בחר אומנם להגיש תביעה למתן פסק דין הצהרתי הקובע כי 3/4 מהזכויות בדירה שייכות לו. עם זאת, אין הלימה בין הסעד המבוקש לבין הנתבע אותו בחר לתבוע. משכך, אין אפשרות ליתן פסק דין הצהרתי כמבוקש, שהרי ממילא לא יהיה בו לחייב את הצדדים הדרושים שלא צורפו כנתבעים. </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lastRenderedPageBreak/>
        <w:t>חרף זאת, מצאתי להידרש להכרעה בטענה כי יש להורות על ביטול הסכם המתנה. בענייננו הסעד ההצהרתי לפיו הסכם המתנה בטל נובע כאמור ישירות מן הסעד המקורי שהתבקש (הצהרה כי 3/4 מהזכויות בדירה שייכות לתובע) והעובדות הדרושות להענקתו התבררו לפניי.</w:t>
      </w:r>
    </w:p>
    <w:p w:rsidR="00DB218F" w:rsidRDefault="00DB218F" w:rsidP="0036596F">
      <w:pPr>
        <w:pStyle w:val="a9"/>
        <w:numPr>
          <w:ilvl w:val="0"/>
          <w:numId w:val="4"/>
        </w:numPr>
        <w:spacing w:after="240" w:line="360" w:lineRule="auto"/>
        <w:ind w:left="0" w:firstLine="0"/>
        <w:contextualSpacing w:val="0"/>
        <w:jc w:val="both"/>
        <w:rPr>
          <w:rFonts w:ascii="Arial" w:hAnsi="Arial"/>
          <w:noProof w:val="0"/>
        </w:rPr>
      </w:pPr>
      <w:r>
        <w:rPr>
          <w:rFonts w:ascii="Arial" w:hAnsi="Arial"/>
          <w:noProof w:val="0"/>
          <w:rtl/>
        </w:rPr>
        <w:t xml:space="preserve">לנוכח כל האמור לעיל, מצאתי כי התובע הוכיח שהמנוחה לא הייתה כשירה לערוך את הסכם המתנה – משכך </w:t>
      </w:r>
      <w:r>
        <w:rPr>
          <w:rFonts w:ascii="Arial" w:hAnsi="Arial"/>
          <w:b/>
          <w:bCs/>
          <w:noProof w:val="0"/>
          <w:rtl/>
        </w:rPr>
        <w:t>אני מצהירה כי הסכם המתנה בטל.</w:t>
      </w:r>
      <w:r>
        <w:rPr>
          <w:rFonts w:ascii="Arial" w:hAnsi="Arial"/>
          <w:noProof w:val="0"/>
          <w:rtl/>
        </w:rPr>
        <w:t xml:space="preserve"> </w:t>
      </w:r>
    </w:p>
    <w:p w:rsidR="00DB218F" w:rsidRDefault="00DB218F" w:rsidP="00DB218F">
      <w:pPr>
        <w:pStyle w:val="a9"/>
        <w:numPr>
          <w:ilvl w:val="0"/>
          <w:numId w:val="4"/>
        </w:numPr>
        <w:spacing w:after="240" w:line="360" w:lineRule="auto"/>
        <w:ind w:left="0" w:firstLine="0"/>
        <w:jc w:val="both"/>
        <w:rPr>
          <w:rFonts w:ascii="Arial" w:hAnsi="Arial"/>
          <w:noProof w:val="0"/>
        </w:rPr>
      </w:pPr>
      <w:r>
        <w:rPr>
          <w:rFonts w:ascii="Arial" w:hAnsi="Arial"/>
          <w:noProof w:val="0"/>
          <w:rtl/>
        </w:rPr>
        <w:t xml:space="preserve">כפועל יוצא, הדירה נכללת בגדרי נכסי עיזבון המנוחה, ומשכך נראה כי יש לחלקה על פי הוראות הצוואה ובשים לב להסכמי חלוקת העיזבון ונפקותם. מובהר כי אין במתן פסק דין זה כדי להוות מעשה בית דין בכל הקשור לטענות שהועלו ביחס לתוקפם של הסכמי חלוקת העיזבון. </w:t>
      </w:r>
    </w:p>
    <w:p w:rsidR="00DB218F" w:rsidRDefault="00DB218F" w:rsidP="00DB218F">
      <w:pPr>
        <w:spacing w:after="120" w:line="360" w:lineRule="auto"/>
        <w:ind w:left="-57"/>
        <w:jc w:val="both"/>
        <w:rPr>
          <w:rFonts w:ascii="David" w:hAnsi="David"/>
          <w:b/>
          <w:bCs/>
          <w:noProof w:val="0"/>
          <w:sz w:val="28"/>
          <w:szCs w:val="28"/>
          <w:u w:val="single"/>
        </w:rPr>
      </w:pPr>
      <w:r>
        <w:rPr>
          <w:rFonts w:ascii="Arial" w:hAnsi="Arial"/>
          <w:noProof w:val="0"/>
          <w:rtl/>
        </w:rPr>
        <w:t xml:space="preserve"> </w:t>
      </w:r>
      <w:r>
        <w:rPr>
          <w:rFonts w:ascii="David" w:hAnsi="David"/>
          <w:b/>
          <w:bCs/>
          <w:noProof w:val="0"/>
          <w:sz w:val="28"/>
          <w:szCs w:val="28"/>
          <w:u w:val="single"/>
          <w:rtl/>
        </w:rPr>
        <w:t>הוצאות משפט</w:t>
      </w:r>
    </w:p>
    <w:p w:rsidR="00DB218F" w:rsidRDefault="00DB218F" w:rsidP="0036596F">
      <w:pPr>
        <w:pStyle w:val="a9"/>
        <w:numPr>
          <w:ilvl w:val="0"/>
          <w:numId w:val="4"/>
        </w:numPr>
        <w:spacing w:after="240" w:line="360" w:lineRule="auto"/>
        <w:ind w:left="0" w:firstLine="0"/>
        <w:contextualSpacing w:val="0"/>
        <w:jc w:val="both"/>
        <w:rPr>
          <w:rFonts w:ascii="David" w:hAnsi="David"/>
          <w:b/>
          <w:bCs/>
          <w:noProof w:val="0"/>
          <w:sz w:val="28"/>
          <w:szCs w:val="28"/>
          <w:u w:val="single"/>
          <w:rtl/>
        </w:rPr>
      </w:pPr>
      <w:r>
        <w:rPr>
          <w:rFonts w:ascii="David" w:hAnsi="David"/>
          <w:noProof w:val="0"/>
          <w:rtl/>
        </w:rPr>
        <w:t>משתמה ההכרעה בתובענה – יש להידרש לשאלת ההוצאות.</w:t>
      </w:r>
    </w:p>
    <w:p w:rsidR="00DB218F" w:rsidRDefault="00DB218F" w:rsidP="0036596F">
      <w:pPr>
        <w:pStyle w:val="a9"/>
        <w:numPr>
          <w:ilvl w:val="0"/>
          <w:numId w:val="4"/>
        </w:numPr>
        <w:spacing w:after="240" w:line="360" w:lineRule="auto"/>
        <w:ind w:left="0" w:firstLine="0"/>
        <w:contextualSpacing w:val="0"/>
        <w:jc w:val="both"/>
        <w:rPr>
          <w:rFonts w:ascii="David" w:hAnsi="David"/>
          <w:b/>
          <w:bCs/>
          <w:noProof w:val="0"/>
          <w:sz w:val="28"/>
          <w:szCs w:val="28"/>
          <w:u w:val="single"/>
        </w:rPr>
      </w:pPr>
      <w:r>
        <w:rPr>
          <w:rFonts w:ascii="David" w:hAnsi="David"/>
          <w:b/>
          <w:bCs/>
          <w:noProof w:val="0"/>
          <w:rtl/>
        </w:rPr>
        <w:t>המתווה הנורמטיבי</w:t>
      </w:r>
      <w:r>
        <w:rPr>
          <w:rFonts w:ascii="David" w:hAnsi="David"/>
          <w:noProof w:val="0"/>
          <w:rtl/>
        </w:rPr>
        <w:t xml:space="preserve"> </w:t>
      </w:r>
      <w:r>
        <w:rPr>
          <w:rFonts w:ascii="David" w:hAnsi="David"/>
          <w:noProof w:val="0"/>
          <w:color w:val="000000" w:themeColor="text1"/>
          <w:rtl/>
        </w:rPr>
        <w:t>– הבסיס לפסיקת הוצאות נעות בתקנות סדר הדין האזרחי, התשע"ט-2018 (להלן: "</w:t>
      </w:r>
      <w:r>
        <w:rPr>
          <w:rFonts w:ascii="David" w:hAnsi="David"/>
          <w:b/>
          <w:bCs/>
          <w:noProof w:val="0"/>
          <w:color w:val="000000" w:themeColor="text1"/>
          <w:rtl/>
        </w:rPr>
        <w:t>התקנות</w:t>
      </w:r>
      <w:r>
        <w:rPr>
          <w:rFonts w:ascii="David" w:hAnsi="David"/>
          <w:noProof w:val="0"/>
          <w:color w:val="000000" w:themeColor="text1"/>
          <w:rtl/>
        </w:rPr>
        <w:t xml:space="preserve">") ובפסיקה כפי שנתגבשה במרוצת השנים. כך למשל בע"א 136/92 </w:t>
      </w:r>
      <w:r>
        <w:rPr>
          <w:rFonts w:ascii="David" w:hAnsi="David"/>
          <w:b/>
          <w:bCs/>
          <w:noProof w:val="0"/>
          <w:color w:val="000000" w:themeColor="text1"/>
          <w:rtl/>
        </w:rPr>
        <w:t>ביניש-עדיאל נ' דניה סיבוס חברה לבנין בע"מ</w:t>
      </w:r>
      <w:r>
        <w:rPr>
          <w:rFonts w:ascii="David" w:hAnsi="David"/>
          <w:noProof w:val="0"/>
          <w:color w:val="000000" w:themeColor="text1"/>
          <w:rtl/>
        </w:rPr>
        <w:t xml:space="preserve">, פ"ד מז (5) 114, 126-125 (1993), נקבע שאופן חישובו של שכר הטרחה הראוי, הוא תלוי משתנים רבים ואינו בגדר רשימה סגורה. בבג"צ 891/05 </w:t>
      </w:r>
      <w:r>
        <w:rPr>
          <w:rFonts w:ascii="David" w:hAnsi="David"/>
          <w:b/>
          <w:bCs/>
          <w:noProof w:val="0"/>
          <w:color w:val="000000" w:themeColor="text1"/>
          <w:rtl/>
        </w:rPr>
        <w:t xml:space="preserve">תנובה נ' הרשות </w:t>
      </w:r>
      <w:r>
        <w:rPr>
          <w:rFonts w:ascii="David" w:hAnsi="David"/>
          <w:b/>
          <w:bCs/>
          <w:noProof w:val="0"/>
          <w:rtl/>
        </w:rPr>
        <w:t>המוסמכת</w:t>
      </w:r>
      <w:r>
        <w:rPr>
          <w:rFonts w:ascii="David" w:hAnsi="David"/>
          <w:noProof w:val="0"/>
          <w:rtl/>
        </w:rPr>
        <w:t xml:space="preserve"> (30.6.2005), נקבע כי לאחר ניתוח של תכלית חיוב בעל דין בהוצאות רעהו, והתייחסות למצב בארצות שונות, אמת המידה הנכונה לחיוב שכר טרחת עורך דין הוא, כי ההוצאות צריכות להיות סבירות, הכרחיות ומידתיות. במסגרת הקווים המנחים לשימוש באותן אמות מידה נקבע, כי התעריף המינימאלי אינו משמש כאמת מידה אלא רק רף תחתון; יש להתחשב בהתנהגות הצדדים ובדרך שבה ניהלו את ההליך; יש להתחשב בסעד המבוקש או הסכום השנוי במחלוקת ובמורכבות התיק והזמן שהושקע בהכנתו; השיקול האחרון המוזכר הוא חשיבות העניין עבור בעלי הדין, לרבות האינטרס הציבורי (רע"א 1975/08 </w:t>
      </w:r>
      <w:r>
        <w:rPr>
          <w:rFonts w:ascii="David" w:hAnsi="David"/>
          <w:b/>
          <w:bCs/>
          <w:noProof w:val="0"/>
          <w:rtl/>
        </w:rPr>
        <w:t>על רד הנדסת מעליות בע"מ נ' נציגות הבית המשותף</w:t>
      </w:r>
      <w:r>
        <w:rPr>
          <w:rFonts w:ascii="David" w:hAnsi="David"/>
          <w:noProof w:val="0"/>
          <w:rtl/>
        </w:rPr>
        <w:t xml:space="preserve"> (9.4.2008)).</w:t>
      </w:r>
    </w:p>
    <w:p w:rsidR="00DB218F" w:rsidRDefault="00DB218F" w:rsidP="00DB218F">
      <w:pPr>
        <w:spacing w:after="120" w:line="360" w:lineRule="auto"/>
        <w:ind w:firstLine="720"/>
        <w:jc w:val="both"/>
        <w:rPr>
          <w:rFonts w:ascii="David" w:hAnsi="David"/>
          <w:noProof w:val="0"/>
          <w:sz w:val="16"/>
          <w:szCs w:val="16"/>
        </w:rPr>
      </w:pPr>
      <w:r>
        <w:rPr>
          <w:rFonts w:ascii="David" w:hAnsi="David"/>
          <w:noProof w:val="0"/>
          <w:rtl/>
        </w:rPr>
        <w:t>תקנה 151 לתקנות קובעת את תכלית ההוצאות:</w:t>
      </w:r>
    </w:p>
    <w:p w:rsidR="00DB218F" w:rsidRDefault="00DB218F" w:rsidP="00DB218F">
      <w:pPr>
        <w:tabs>
          <w:tab w:val="left" w:pos="7272"/>
        </w:tabs>
        <w:spacing w:after="160"/>
        <w:ind w:left="1076" w:right="1134"/>
        <w:contextualSpacing/>
        <w:jc w:val="both"/>
        <w:rPr>
          <w:rFonts w:ascii="David" w:hAnsi="David"/>
          <w:b/>
          <w:bCs/>
          <w:noProof w:val="0"/>
          <w:rtl/>
        </w:rPr>
      </w:pPr>
      <w:r>
        <w:rPr>
          <w:rFonts w:ascii="David" w:hAnsi="David"/>
          <w:b/>
          <w:bCs/>
          <w:noProof w:val="0"/>
          <w:rtl/>
        </w:rPr>
        <w:t>" (א) חיוב בעל דין בתשלום הוצאות נועד לשפות את בעל הדין שכנגד על הוצאותיו בהליך בהתחשב בתוצאותיו, במשאבים שנדרשו לניהולו ובהתנהלות בעלי הדין.</w:t>
      </w:r>
    </w:p>
    <w:p w:rsidR="00DB218F" w:rsidRDefault="00DB218F" w:rsidP="00DB218F">
      <w:pPr>
        <w:tabs>
          <w:tab w:val="left" w:pos="7272"/>
        </w:tabs>
        <w:spacing w:after="160"/>
        <w:ind w:left="1076" w:right="1134"/>
        <w:contextualSpacing/>
        <w:jc w:val="both"/>
        <w:rPr>
          <w:rFonts w:ascii="David" w:hAnsi="David"/>
          <w:b/>
          <w:bCs/>
          <w:noProof w:val="0"/>
          <w:rtl/>
        </w:rPr>
      </w:pPr>
      <w:r>
        <w:rPr>
          <w:rFonts w:ascii="David" w:hAnsi="David"/>
          <w:b/>
          <w:bCs/>
          <w:noProof w:val="0"/>
          <w:rtl/>
        </w:rPr>
        <w:t xml:space="preserve">  (ב)החלטת בית המשפט בעניין פסיקת ההוצאות ושיעורן תבטא את האיזון הראוי שבין הבטחת זכות הגישה לערכאות, הגנה על זכות הקניין של הפרט ושמירה על שוויון בין בעלי הדין.</w:t>
      </w:r>
    </w:p>
    <w:p w:rsidR="00DB218F" w:rsidRDefault="00DB218F" w:rsidP="00DB218F">
      <w:pPr>
        <w:tabs>
          <w:tab w:val="left" w:pos="7272"/>
        </w:tabs>
        <w:spacing w:after="240"/>
        <w:ind w:left="1077" w:right="1134"/>
        <w:jc w:val="both"/>
        <w:rPr>
          <w:rFonts w:ascii="David" w:hAnsi="David"/>
          <w:b/>
          <w:bCs/>
          <w:noProof w:val="0"/>
        </w:rPr>
      </w:pPr>
      <w:r>
        <w:rPr>
          <w:rFonts w:ascii="David" w:hAnsi="David"/>
          <w:b/>
          <w:bCs/>
          <w:noProof w:val="0"/>
          <w:rtl/>
        </w:rPr>
        <w:t>(ג)סבר בית המשפט שבעל דין עשה שימוש לרעה בהליכי משפט או לא מילא אחר תקנות אלה, רשאי הוא לחייבו בהוצאות לטובת הנפגע או לטובת אוצר המדינה ובנסיבות מיוחדות אף את בא כוחו."</w:t>
      </w:r>
    </w:p>
    <w:p w:rsidR="00DB218F" w:rsidRDefault="00DB218F" w:rsidP="00DB218F">
      <w:pPr>
        <w:pStyle w:val="a9"/>
        <w:spacing w:before="120" w:after="120" w:line="360" w:lineRule="auto"/>
        <w:ind w:left="0" w:firstLine="720"/>
        <w:jc w:val="both"/>
        <w:rPr>
          <w:rFonts w:ascii="David" w:hAnsi="David"/>
          <w:noProof w:val="0"/>
          <w:rtl/>
        </w:rPr>
      </w:pPr>
      <w:bookmarkStart w:id="1" w:name="Seif6"/>
      <w:r>
        <w:rPr>
          <w:rFonts w:ascii="David" w:hAnsi="David"/>
          <w:noProof w:val="0"/>
          <w:color w:val="000000"/>
          <w:rtl/>
        </w:rPr>
        <w:lastRenderedPageBreak/>
        <w:t>תקנה </w:t>
      </w:r>
      <w:bookmarkEnd w:id="1"/>
      <w:r>
        <w:rPr>
          <w:rFonts w:ascii="David" w:hAnsi="David"/>
          <w:noProof w:val="0"/>
          <w:color w:val="000000"/>
        </w:rPr>
        <w:t xml:space="preserve"> 153 </w:t>
      </w:r>
      <w:r>
        <w:rPr>
          <w:rFonts w:ascii="David" w:hAnsi="David"/>
          <w:noProof w:val="0"/>
          <w:color w:val="000000"/>
          <w:rtl/>
        </w:rPr>
        <w:t>(ג) ל</w:t>
      </w:r>
      <w:bookmarkStart w:id="2" w:name="Seif3"/>
      <w:r>
        <w:rPr>
          <w:rFonts w:ascii="David" w:hAnsi="David"/>
          <w:noProof w:val="0"/>
          <w:color w:val="000000"/>
          <w:rtl/>
        </w:rPr>
        <w:t>תקנות קובעת את שיעור ההוצאות והשיקולים השונים שעל בית המשפט להתחשב בהם</w:t>
      </w:r>
      <w:bookmarkEnd w:id="2"/>
      <w:r>
        <w:rPr>
          <w:rFonts w:ascii="David" w:hAnsi="David"/>
          <w:noProof w:val="0"/>
          <w:color w:val="000000"/>
          <w:rtl/>
        </w:rPr>
        <w:t>:</w:t>
      </w:r>
    </w:p>
    <w:p w:rsidR="00DB218F" w:rsidRDefault="00DB218F" w:rsidP="00DB218F">
      <w:pPr>
        <w:spacing w:after="240"/>
        <w:ind w:left="1134" w:right="1134"/>
        <w:jc w:val="both"/>
        <w:rPr>
          <w:rFonts w:ascii="Arial" w:hAnsi="Arial"/>
          <w:noProof w:val="0"/>
          <w:rtl/>
        </w:rPr>
      </w:pPr>
      <w:r>
        <w:rPr>
          <w:rFonts w:ascii="David" w:hAnsi="David"/>
          <w:b/>
          <w:bCs/>
          <w:noProof w:val="0"/>
          <w:rtl/>
        </w:rPr>
        <w:t>"בקביעת שיעור ההוצאות יתחשב בית המשפט, בין השאר, בשווי הסעד שנפסק וביחס שבינו לבין הסכום שנתבע, בדרך שבה ניהלו בעלי הדין את הדיון, במורכבות ההליך, בהשקעת המשאבים בהכנתו ובניהולו ובסכום ההוצאות שהתבקש."</w:t>
      </w:r>
    </w:p>
    <w:p w:rsidR="00DB218F" w:rsidRDefault="00DB218F" w:rsidP="0036596F">
      <w:pPr>
        <w:pStyle w:val="a9"/>
        <w:numPr>
          <w:ilvl w:val="0"/>
          <w:numId w:val="4"/>
        </w:numPr>
        <w:tabs>
          <w:tab w:val="left" w:pos="708"/>
        </w:tabs>
        <w:spacing w:after="240" w:line="360" w:lineRule="auto"/>
        <w:ind w:left="0" w:firstLine="0"/>
        <w:contextualSpacing w:val="0"/>
        <w:jc w:val="both"/>
        <w:rPr>
          <w:rFonts w:ascii="David" w:hAnsi="David"/>
          <w:b/>
          <w:bCs/>
          <w:noProof w:val="0"/>
          <w:sz w:val="28"/>
          <w:szCs w:val="28"/>
          <w:u w:val="single"/>
        </w:rPr>
      </w:pPr>
      <w:r>
        <w:rPr>
          <w:rFonts w:ascii="Arial" w:hAnsi="Arial"/>
          <w:noProof w:val="0"/>
          <w:rtl/>
        </w:rPr>
        <w:t>בנסיבות אלה ולאחר ששקלתי את כל השיקולים הרלוונטיים כמפורט לעיל, ולנוכח התוצאה אליה הגעתי (התביעה התקבלה באופן חלקי) ובשים לב להתנהלות ההליך – עלות חוות הדעת, קיום דיון לצורך חקירת המומחה, והצורך בקיום דיון הוכחות נוס</w:t>
      </w:r>
      <w:r w:rsidR="0036596F">
        <w:rPr>
          <w:rFonts w:ascii="Arial" w:hAnsi="Arial"/>
          <w:noProof w:val="0"/>
          <w:rtl/>
        </w:rPr>
        <w:t>ף לצורך שמיעת עדותו של עו"ד ר</w:t>
      </w:r>
      <w:r w:rsidR="0036596F">
        <w:rPr>
          <w:rFonts w:ascii="Arial" w:hAnsi="Arial" w:hint="cs"/>
          <w:noProof w:val="0"/>
          <w:rtl/>
        </w:rPr>
        <w:t>'</w:t>
      </w:r>
      <w:r>
        <w:rPr>
          <w:rFonts w:ascii="Arial" w:hAnsi="Arial"/>
          <w:noProof w:val="0"/>
          <w:rtl/>
        </w:rPr>
        <w:t xml:space="preserve"> – אני מחייבת את הנתבע בהוצאות התובע בגין התובענה דנן בסך של 20,000 ₪. הסכום ישולם לתובע בתוך 30 יום. כל עיכוב בתשלום יגרור חיובי הצמדה וריבית כדין. זכות ערעור לבית המשפט המחוזי בתל אביב-יפו בתוך 45 יום ממועד המצאת פסק הדין.</w:t>
      </w:r>
    </w:p>
    <w:p w:rsidR="00DB218F" w:rsidRDefault="00DB218F" w:rsidP="0036596F">
      <w:pPr>
        <w:pStyle w:val="a9"/>
        <w:numPr>
          <w:ilvl w:val="0"/>
          <w:numId w:val="4"/>
        </w:numPr>
        <w:tabs>
          <w:tab w:val="left" w:pos="708"/>
        </w:tabs>
        <w:spacing w:after="240" w:line="360" w:lineRule="auto"/>
        <w:ind w:left="0" w:firstLine="0"/>
        <w:contextualSpacing w:val="0"/>
        <w:jc w:val="both"/>
        <w:rPr>
          <w:rFonts w:ascii="David" w:hAnsi="David"/>
          <w:b/>
          <w:bCs/>
          <w:noProof w:val="0"/>
          <w:sz w:val="28"/>
          <w:szCs w:val="28"/>
          <w:u w:val="single"/>
        </w:rPr>
      </w:pPr>
      <w:r>
        <w:rPr>
          <w:rFonts w:ascii="Arial" w:hAnsi="Arial"/>
          <w:noProof w:val="0"/>
          <w:rtl/>
        </w:rPr>
        <w:t>פסק הדין מותר לפרסום בהשמטת פרטים מזהים.</w:t>
      </w:r>
    </w:p>
    <w:p w:rsidR="00DB218F" w:rsidRDefault="00DB218F" w:rsidP="00DB218F">
      <w:pPr>
        <w:pStyle w:val="a9"/>
        <w:numPr>
          <w:ilvl w:val="0"/>
          <w:numId w:val="4"/>
        </w:numPr>
        <w:tabs>
          <w:tab w:val="left" w:pos="708"/>
        </w:tabs>
        <w:spacing w:line="360" w:lineRule="auto"/>
        <w:ind w:left="708" w:hanging="708"/>
        <w:jc w:val="both"/>
        <w:rPr>
          <w:rFonts w:ascii="David" w:hAnsi="David"/>
          <w:b/>
          <w:bCs/>
          <w:noProof w:val="0"/>
          <w:sz w:val="28"/>
          <w:szCs w:val="28"/>
          <w:u w:val="single"/>
        </w:rPr>
      </w:pPr>
      <w:r>
        <w:rPr>
          <w:rFonts w:ascii="Arial" w:hAnsi="Arial"/>
          <w:noProof w:val="0"/>
          <w:rtl/>
        </w:rPr>
        <w:t>המזכירות תמציא את פסק הדין לצדדים ותסגור את התיק.</w:t>
      </w:r>
    </w:p>
    <w:p w:rsidR="00DB218F" w:rsidRDefault="00DB218F" w:rsidP="00DB218F">
      <w:pPr>
        <w:pStyle w:val="a9"/>
        <w:tabs>
          <w:tab w:val="left" w:pos="708"/>
        </w:tabs>
        <w:spacing w:line="360" w:lineRule="auto"/>
        <w:ind w:left="708"/>
        <w:jc w:val="both"/>
        <w:rPr>
          <w:rFonts w:ascii="David" w:hAnsi="David"/>
          <w:b/>
          <w:bCs/>
          <w:noProof w:val="0"/>
          <w:sz w:val="28"/>
          <w:szCs w:val="28"/>
          <w:u w:val="single"/>
        </w:rPr>
      </w:pPr>
    </w:p>
    <w:p w:rsidR="00DB218F" w:rsidRDefault="00DB218F" w:rsidP="00DB218F">
      <w:pPr>
        <w:spacing w:line="360" w:lineRule="auto"/>
        <w:jc w:val="both"/>
        <w:rPr>
          <w:rFonts w:ascii="Arial" w:hAnsi="Arial"/>
          <w:noProof w:val="0"/>
        </w:rPr>
      </w:pPr>
      <w:r>
        <w:rPr>
          <w:rFonts w:ascii="Arial" w:hAnsi="Arial"/>
          <w:noProof w:val="0"/>
          <w:rtl/>
        </w:rPr>
        <w:t xml:space="preserve">ניתן היום,  </w:t>
      </w:r>
      <w:sdt>
        <w:sdtPr>
          <w:rPr>
            <w:rtl/>
          </w:rPr>
          <w:alias w:val="1455"/>
          <w:tag w:val="1455"/>
          <w:id w:val="-1784405537"/>
          <w:text w:multiLine="1"/>
        </w:sdtPr>
        <w:sdtEndPr/>
        <w:sdtContent>
          <w:r>
            <w:rPr>
              <w:rFonts w:ascii="Arial" w:hAnsi="Arial"/>
              <w:noProof w:val="0"/>
              <w:rtl/>
            </w:rPr>
            <w:t>ט"ז תמוז תשפ"ד</w:t>
          </w:r>
        </w:sdtContent>
      </w:sdt>
      <w:r>
        <w:rPr>
          <w:rFonts w:ascii="Arial" w:hAnsi="Arial"/>
          <w:noProof w:val="0"/>
          <w:rtl/>
        </w:rPr>
        <w:t xml:space="preserve">, </w:t>
      </w:r>
      <w:sdt>
        <w:sdtPr>
          <w:rPr>
            <w:rtl/>
          </w:rPr>
          <w:alias w:val="1456"/>
          <w:tag w:val="1456"/>
          <w:id w:val="-1133865600"/>
          <w:text w:multiLine="1"/>
        </w:sdtPr>
        <w:sdtEndPr/>
        <w:sdtContent>
          <w:r>
            <w:rPr>
              <w:rFonts w:ascii="Arial" w:hAnsi="Arial"/>
              <w:noProof w:val="0"/>
              <w:rtl/>
            </w:rPr>
            <w:t>22 יולי 2024</w:t>
          </w:r>
        </w:sdtContent>
      </w:sdt>
      <w:r>
        <w:rPr>
          <w:rFonts w:ascii="Arial" w:hAnsi="Arial"/>
          <w:noProof w:val="0"/>
          <w:rtl/>
        </w:rPr>
        <w:t>, בהעדר הצדדים.</w:t>
      </w:r>
    </w:p>
    <w:p w:rsidR="00DB218F" w:rsidRDefault="00DB218F" w:rsidP="00DB218F">
      <w:pPr>
        <w:spacing w:line="360" w:lineRule="auto"/>
        <w:jc w:val="both"/>
        <w:rPr>
          <w:rFonts w:ascii="Arial" w:hAnsi="Arial"/>
          <w:noProof w:val="0"/>
          <w:rtl/>
        </w:rPr>
      </w:pPr>
    </w:p>
    <w:p w:rsidR="00DB218F" w:rsidRDefault="005C794D" w:rsidP="00DB218F">
      <w:pPr>
        <w:spacing w:line="360" w:lineRule="auto"/>
        <w:ind w:left="3600" w:firstLine="720"/>
        <w:jc w:val="both"/>
        <w:rPr>
          <w:rtl/>
        </w:rPr>
      </w:pPr>
      <w:sdt>
        <w:sdtPr>
          <w:rPr>
            <w:rtl/>
          </w:rPr>
          <w:alias w:val="MergeField"/>
          <w:tag w:val="1237"/>
          <w:id w:val="63611295"/>
        </w:sdtPr>
        <w:sdtEndPr/>
        <w:sdtContent>
          <w:r w:rsidR="00DB218F">
            <w:drawing>
              <wp:inline distT="0" distB="0" distL="0" distR="0">
                <wp:extent cx="1768475" cy="509270"/>
                <wp:effectExtent l="0" t="0" r="3175" b="508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68475" cy="509270"/>
                        </a:xfrm>
                        <a:prstGeom prst="rect">
                          <a:avLst/>
                        </a:prstGeom>
                        <a:noFill/>
                        <a:ln>
                          <a:noFill/>
                        </a:ln>
                      </pic:spPr>
                    </pic:pic>
                  </a:graphicData>
                </a:graphic>
              </wp:inline>
            </w:drawing>
          </w:r>
        </w:sdtContent>
      </w:sdt>
    </w:p>
    <w:p w:rsidR="00DB218F" w:rsidRDefault="00DB218F" w:rsidP="00DB218F">
      <w:pPr>
        <w:spacing w:line="360" w:lineRule="auto"/>
        <w:ind w:left="3600" w:firstLine="720"/>
        <w:jc w:val="both"/>
        <w:rPr>
          <w:rFonts w:ascii="Arial" w:hAnsi="Arial"/>
          <w:noProof w:val="0"/>
        </w:rPr>
      </w:pPr>
    </w:p>
    <w:p w:rsidR="00DB218F" w:rsidRDefault="00DB218F" w:rsidP="00DB218F">
      <w:pPr>
        <w:spacing w:line="360" w:lineRule="auto"/>
        <w:jc w:val="both"/>
        <w:rPr>
          <w:rFonts w:ascii="Arial" w:hAnsi="Arial"/>
          <w:noProof w:val="0"/>
          <w:rtl/>
        </w:rPr>
      </w:pPr>
    </w:p>
    <w:p w:rsidR="00DB218F" w:rsidRDefault="00DB218F" w:rsidP="00DB218F">
      <w:pPr>
        <w:spacing w:line="360" w:lineRule="auto"/>
        <w:jc w:val="both"/>
        <w:rPr>
          <w:rFonts w:ascii="Arial" w:hAnsi="Arial"/>
          <w:noProof w:val="0"/>
          <w:rtl/>
        </w:rPr>
      </w:pPr>
    </w:p>
    <w:p w:rsidR="00DB218F" w:rsidRDefault="00DB218F" w:rsidP="00DB218F">
      <w:pPr>
        <w:spacing w:line="360" w:lineRule="auto"/>
        <w:jc w:val="both"/>
        <w:rPr>
          <w:rFonts w:ascii="Arial" w:hAnsi="Arial"/>
          <w:noProof w:val="0"/>
          <w:rtl/>
        </w:rPr>
      </w:pPr>
    </w:p>
    <w:p w:rsidR="00DB218F" w:rsidRDefault="00DB218F" w:rsidP="00DB218F">
      <w:pPr>
        <w:spacing w:line="360" w:lineRule="auto"/>
        <w:jc w:val="both"/>
        <w:rPr>
          <w:rFonts w:ascii="Arial" w:hAnsi="Arial"/>
          <w:noProof w:val="0"/>
          <w:rtl/>
        </w:rPr>
      </w:pPr>
    </w:p>
    <w:p w:rsidR="00DB218F" w:rsidRDefault="00DB218F" w:rsidP="00DB218F">
      <w:pPr>
        <w:spacing w:line="360" w:lineRule="auto"/>
        <w:jc w:val="both"/>
        <w:rPr>
          <w:rFonts w:ascii="Arial" w:hAnsi="Arial"/>
          <w:noProof w:val="0"/>
          <w:rtl/>
        </w:rPr>
      </w:pPr>
    </w:p>
    <w:p w:rsidR="00C77137" w:rsidRPr="00DB218F" w:rsidRDefault="00C77137" w:rsidP="00DB218F"/>
    <w:sectPr w:rsidR="00C77137" w:rsidRPr="00DB218F" w:rsidSect="00DB218F">
      <w:headerReference w:type="default" r:id="rId34"/>
      <w:footerReference w:type="default" r:id="rId35"/>
      <w:pgSz w:w="11907" w:h="16840" w:code="9"/>
      <w:pgMar w:top="720" w:right="1701" w:bottom="431" w:left="1701" w:header="720" w:footer="1055" w:gutter="0"/>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C794D" w:rsidRDefault="005C794D">
      <w:r>
        <w:separator/>
      </w:r>
    </w:p>
  </w:endnote>
  <w:endnote w:type="continuationSeparator" w:id="0">
    <w:p w:rsidR="005C794D" w:rsidRDefault="005C79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809" w:rsidRDefault="00FB52E9">
    <w:pPr>
      <w:pStyle w:val="a5"/>
      <w:jc w:val="center"/>
      <w:rPr>
        <w:rStyle w:val="a8"/>
        <w:rFonts w:cs="David"/>
      </w:rPr>
    </w:pPr>
    <w:r>
      <w:rPr>
        <w:rStyle w:val="a8"/>
        <w:rFonts w:cs="David"/>
      </w:rPr>
      <w:fldChar w:fldCharType="begin"/>
    </w:r>
    <w:r>
      <w:rPr>
        <w:rStyle w:val="a8"/>
        <w:rFonts w:cs="David"/>
      </w:rPr>
      <w:instrText xml:space="preserve"> PAGE </w:instrText>
    </w:r>
    <w:r>
      <w:rPr>
        <w:rStyle w:val="a8"/>
        <w:rFonts w:cs="David"/>
      </w:rPr>
      <w:fldChar w:fldCharType="separate"/>
    </w:r>
    <w:r w:rsidR="00EB0E4C">
      <w:rPr>
        <w:rStyle w:val="a8"/>
        <w:rFonts w:cs="David"/>
        <w:rtl/>
      </w:rPr>
      <w:t>1</w:t>
    </w:r>
    <w:r>
      <w:rPr>
        <w:rStyle w:val="a8"/>
        <w:rFonts w:cs="David"/>
      </w:rPr>
      <w:fldChar w:fldCharType="end"/>
    </w:r>
    <w:r>
      <w:rPr>
        <w:rStyle w:val="a8"/>
        <w:rFonts w:cs="David"/>
        <w:noProof w:val="0"/>
        <w:rtl/>
      </w:rPr>
      <w:t xml:space="preserve"> מתוך </w:t>
    </w:r>
    <w:r>
      <w:rPr>
        <w:rStyle w:val="a8"/>
        <w:rFonts w:cs="David"/>
      </w:rPr>
      <w:fldChar w:fldCharType="begin"/>
    </w:r>
    <w:r>
      <w:rPr>
        <w:rStyle w:val="a8"/>
        <w:rFonts w:cs="David"/>
      </w:rPr>
      <w:instrText xml:space="preserve"> NUMPAGES </w:instrText>
    </w:r>
    <w:r>
      <w:rPr>
        <w:rStyle w:val="a8"/>
        <w:rFonts w:cs="David"/>
      </w:rPr>
      <w:fldChar w:fldCharType="separate"/>
    </w:r>
    <w:r w:rsidR="00EB0E4C">
      <w:rPr>
        <w:rStyle w:val="a8"/>
        <w:rFonts w:cs="David"/>
        <w:rtl/>
      </w:rPr>
      <w:t>30</w:t>
    </w:r>
    <w:r>
      <w:rPr>
        <w:rStyle w:val="a8"/>
        <w:rFonts w:cs="David"/>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C794D" w:rsidRDefault="005C794D">
      <w:r>
        <w:separator/>
      </w:r>
    </w:p>
  </w:footnote>
  <w:footnote w:type="continuationSeparator" w:id="0">
    <w:p w:rsidR="005C794D" w:rsidRDefault="005C79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5809" w:rsidRDefault="00FB52E9">
    <w:pPr>
      <w:pStyle w:val="a3"/>
      <w:jc w:val="center"/>
      <w:rPr>
        <w:rFonts w:cs="FrankRuehl"/>
        <w:noProof w:val="0"/>
        <w:sz w:val="28"/>
        <w:szCs w:val="28"/>
        <w:rtl/>
      </w:rPr>
    </w:pPr>
    <w:r>
      <w:rPr>
        <w:rFonts w:cs="FrankRuehl"/>
        <w:sz w:val="28"/>
        <w:szCs w:val="28"/>
      </w:rPr>
      <w:drawing>
        <wp:inline distT="0" distB="0" distL="0" distR="0">
          <wp:extent cx="368300" cy="464185"/>
          <wp:effectExtent l="0" t="0" r="0" b="0"/>
          <wp:docPr id="1" name="תמונה 1" descr="תיאור: 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תיאור: 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8300" cy="46418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14"/>
      <w:gridCol w:w="3591"/>
    </w:tblGrid>
    <w:tr w:rsidR="00255809">
      <w:trPr>
        <w:trHeight w:hRule="exact" w:val="418"/>
        <w:jc w:val="center"/>
      </w:trPr>
      <w:tc>
        <w:tcPr>
          <w:tcW w:w="8721" w:type="dxa"/>
          <w:gridSpan w:val="2"/>
        </w:tcPr>
        <w:p w:rsidR="00255809" w:rsidRDefault="00DB218F">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w:t>
          </w:r>
          <w:r>
            <w:rPr>
              <w:rFonts w:ascii="Tahoma" w:hAnsi="Tahoma" w:cs="Tahoma" w:hint="cs"/>
              <w:b/>
              <w:bCs/>
              <w:noProof w:val="0"/>
              <w:color w:val="000080"/>
              <w:rtl/>
            </w:rPr>
            <w:t>תל אביב - יפו</w:t>
          </w:r>
        </w:p>
      </w:tc>
    </w:tr>
    <w:tr w:rsidR="00255809">
      <w:trPr>
        <w:trHeight w:val="337"/>
        <w:jc w:val="center"/>
      </w:trPr>
      <w:tc>
        <w:tcPr>
          <w:tcW w:w="5047" w:type="dxa"/>
        </w:tcPr>
        <w:p w:rsidR="00255809" w:rsidRDefault="005C794D">
          <w:pPr>
            <w:rPr>
              <w:b/>
              <w:bCs/>
              <w:noProof w:val="0"/>
              <w:sz w:val="26"/>
              <w:szCs w:val="26"/>
              <w:rtl/>
            </w:rPr>
          </w:pPr>
        </w:p>
      </w:tc>
      <w:tc>
        <w:tcPr>
          <w:tcW w:w="3674" w:type="dxa"/>
        </w:tcPr>
        <w:p w:rsidR="00255809" w:rsidRDefault="00DB218F">
          <w:pPr>
            <w:pStyle w:val="a3"/>
            <w:jc w:val="right"/>
            <w:rPr>
              <w:b/>
              <w:bCs/>
              <w:noProof w:val="0"/>
              <w:sz w:val="26"/>
              <w:szCs w:val="26"/>
              <w:rtl/>
            </w:rPr>
          </w:pPr>
          <w:r>
            <w:rPr>
              <w:rFonts w:hint="cs"/>
              <w:b/>
              <w:bCs/>
              <w:noProof w:val="0"/>
              <w:sz w:val="26"/>
              <w:szCs w:val="26"/>
              <w:rtl/>
            </w:rPr>
            <w:t>22 ביולי 2024</w:t>
          </w:r>
        </w:p>
      </w:tc>
    </w:tr>
    <w:tr w:rsidR="00255809">
      <w:trPr>
        <w:trHeight w:val="337"/>
        <w:jc w:val="center"/>
      </w:trPr>
      <w:tc>
        <w:tcPr>
          <w:tcW w:w="8721" w:type="dxa"/>
          <w:gridSpan w:val="2"/>
        </w:tcPr>
        <w:p w:rsidR="00255809" w:rsidRPr="00DB218F" w:rsidRDefault="00DB218F" w:rsidP="00486CD3">
          <w:pPr>
            <w:rPr>
              <w:b/>
              <w:bCs/>
              <w:noProof w:val="0"/>
              <w:sz w:val="26"/>
              <w:szCs w:val="26"/>
              <w:rtl/>
            </w:rPr>
          </w:pPr>
          <w:r w:rsidRPr="00DB218F">
            <w:rPr>
              <w:rFonts w:hint="cs"/>
              <w:b/>
              <w:bCs/>
              <w:noProof w:val="0"/>
              <w:sz w:val="26"/>
              <w:szCs w:val="26"/>
              <w:rtl/>
            </w:rPr>
            <w:t>תמ"ש 22300-10-17 י.פ. נ' א.פ.</w:t>
          </w:r>
        </w:p>
        <w:p w:rsidR="00255809" w:rsidRDefault="005C794D">
          <w:pPr>
            <w:rPr>
              <w:noProof w:val="0"/>
              <w:rtl/>
            </w:rPr>
          </w:pPr>
        </w:p>
      </w:tc>
    </w:tr>
  </w:tbl>
  <w:p w:rsidR="00255809" w:rsidRDefault="00FB52E9">
    <w:pPr>
      <w:pStyle w:val="a3"/>
      <w:rPr>
        <w:noProof w:val="0"/>
        <w:rtl/>
      </w:rPr>
    </w:pPr>
    <w:r>
      <w:rPr>
        <w:noProof w:val="0"/>
        <w:rt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56B81"/>
    <w:multiLevelType w:val="hybridMultilevel"/>
    <w:tmpl w:val="A0A6A07C"/>
    <w:lvl w:ilvl="0" w:tplc="B90E04C6">
      <w:start w:val="1"/>
      <w:numFmt w:val="decimal"/>
      <w:lvlText w:val="%1."/>
      <w:lvlJc w:val="left"/>
      <w:pPr>
        <w:ind w:left="720" w:hanging="360"/>
      </w:pPr>
      <w:rPr>
        <w:rFonts w:cs="Times New Roman"/>
        <w:b w:val="0"/>
        <w:bCs w:val="0"/>
      </w:rPr>
    </w:lvl>
    <w:lvl w:ilvl="1" w:tplc="D750AA98">
      <w:start w:val="1"/>
      <w:numFmt w:val="hebrew1"/>
      <w:lvlText w:val="%2."/>
      <w:lvlJc w:val="center"/>
      <w:pPr>
        <w:ind w:left="1440" w:hanging="360"/>
      </w:pPr>
      <w:rPr>
        <w:rFonts w:cs="David"/>
        <w:sz w:val="2"/>
        <w:szCs w:val="24"/>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060813A2"/>
    <w:multiLevelType w:val="hybridMultilevel"/>
    <w:tmpl w:val="F372265C"/>
    <w:lvl w:ilvl="0" w:tplc="9C1C5D56">
      <w:start w:val="1"/>
      <w:numFmt w:val="decimal"/>
      <w:lvlText w:val="%1."/>
      <w:lvlJc w:val="left"/>
      <w:pPr>
        <w:ind w:left="643" w:hanging="360"/>
      </w:pPr>
      <w:rPr>
        <w:b w:val="0"/>
        <w:bCs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5CB4F49"/>
    <w:multiLevelType w:val="hybridMultilevel"/>
    <w:tmpl w:val="50E0382C"/>
    <w:lvl w:ilvl="0" w:tplc="5B8204C2">
      <w:start w:val="1"/>
      <w:numFmt w:val="hebrew1"/>
      <w:lvlText w:val="(%1)"/>
      <w:lvlJc w:val="left"/>
      <w:pPr>
        <w:ind w:left="720" w:hanging="360"/>
      </w:pPr>
      <w:rPr>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55D87C69"/>
    <w:multiLevelType w:val="hybridMultilevel"/>
    <w:tmpl w:val="985226A2"/>
    <w:lvl w:ilvl="0" w:tplc="6B981762">
      <w:start w:val="1"/>
      <w:numFmt w:val="hebrew1"/>
      <w:lvlText w:val="%1."/>
      <w:lvlJc w:val="center"/>
      <w:pPr>
        <w:ind w:left="1434" w:hanging="360"/>
      </w:pPr>
      <w:rPr>
        <w:rFonts w:cs="David"/>
        <w:sz w:val="2"/>
        <w:szCs w:val="24"/>
      </w:rPr>
    </w:lvl>
    <w:lvl w:ilvl="1" w:tplc="04090019" w:tentative="1">
      <w:start w:val="1"/>
      <w:numFmt w:val="lowerLetter"/>
      <w:lvlText w:val="%2."/>
      <w:lvlJc w:val="left"/>
      <w:pPr>
        <w:ind w:left="2154" w:hanging="360"/>
      </w:pPr>
      <w:rPr>
        <w:rFonts w:cs="Times New Roman"/>
      </w:rPr>
    </w:lvl>
    <w:lvl w:ilvl="2" w:tplc="0409001B" w:tentative="1">
      <w:start w:val="1"/>
      <w:numFmt w:val="lowerRoman"/>
      <w:lvlText w:val="%3."/>
      <w:lvlJc w:val="right"/>
      <w:pPr>
        <w:ind w:left="2874" w:hanging="180"/>
      </w:pPr>
      <w:rPr>
        <w:rFonts w:cs="Times New Roman"/>
      </w:rPr>
    </w:lvl>
    <w:lvl w:ilvl="3" w:tplc="0409000F" w:tentative="1">
      <w:start w:val="1"/>
      <w:numFmt w:val="decimal"/>
      <w:lvlText w:val="%4."/>
      <w:lvlJc w:val="left"/>
      <w:pPr>
        <w:ind w:left="3594" w:hanging="360"/>
      </w:pPr>
      <w:rPr>
        <w:rFonts w:cs="Times New Roman"/>
      </w:rPr>
    </w:lvl>
    <w:lvl w:ilvl="4" w:tplc="04090019" w:tentative="1">
      <w:start w:val="1"/>
      <w:numFmt w:val="lowerLetter"/>
      <w:lvlText w:val="%5."/>
      <w:lvlJc w:val="left"/>
      <w:pPr>
        <w:ind w:left="4314" w:hanging="360"/>
      </w:pPr>
      <w:rPr>
        <w:rFonts w:cs="Times New Roman"/>
      </w:rPr>
    </w:lvl>
    <w:lvl w:ilvl="5" w:tplc="0409001B" w:tentative="1">
      <w:start w:val="1"/>
      <w:numFmt w:val="lowerRoman"/>
      <w:lvlText w:val="%6."/>
      <w:lvlJc w:val="right"/>
      <w:pPr>
        <w:ind w:left="5034" w:hanging="180"/>
      </w:pPr>
      <w:rPr>
        <w:rFonts w:cs="Times New Roman"/>
      </w:rPr>
    </w:lvl>
    <w:lvl w:ilvl="6" w:tplc="0409000F" w:tentative="1">
      <w:start w:val="1"/>
      <w:numFmt w:val="decimal"/>
      <w:lvlText w:val="%7."/>
      <w:lvlJc w:val="left"/>
      <w:pPr>
        <w:ind w:left="5754" w:hanging="360"/>
      </w:pPr>
      <w:rPr>
        <w:rFonts w:cs="Times New Roman"/>
      </w:rPr>
    </w:lvl>
    <w:lvl w:ilvl="7" w:tplc="04090019" w:tentative="1">
      <w:start w:val="1"/>
      <w:numFmt w:val="lowerLetter"/>
      <w:lvlText w:val="%8."/>
      <w:lvlJc w:val="left"/>
      <w:pPr>
        <w:ind w:left="6474" w:hanging="360"/>
      </w:pPr>
      <w:rPr>
        <w:rFonts w:cs="Times New Roman"/>
      </w:rPr>
    </w:lvl>
    <w:lvl w:ilvl="8" w:tplc="0409001B" w:tentative="1">
      <w:start w:val="1"/>
      <w:numFmt w:val="lowerRoman"/>
      <w:lvlText w:val="%9."/>
      <w:lvlJc w:val="right"/>
      <w:pPr>
        <w:ind w:left="7194" w:hanging="180"/>
      </w:pPr>
      <w:rPr>
        <w:rFonts w:cs="Times New Roman"/>
      </w:rPr>
    </w:lvl>
  </w:abstractNum>
  <w:abstractNum w:abstractNumId="4" w15:restartNumberingAfterBreak="0">
    <w:nsid w:val="602C30FE"/>
    <w:multiLevelType w:val="hybridMultilevel"/>
    <w:tmpl w:val="58263770"/>
    <w:lvl w:ilvl="0" w:tplc="452E649C">
      <w:start w:val="1"/>
      <w:numFmt w:val="hebrew1"/>
      <w:lvlText w:val="(%1)"/>
      <w:lvlJc w:val="left"/>
      <w:pPr>
        <w:ind w:left="720" w:hanging="360"/>
      </w:pPr>
      <w:rPr>
        <w:rFonts w:ascii="David" w:hAnsi="David" w:cs="David"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 w15:restartNumberingAfterBreak="0">
    <w:nsid w:val="75CD0CA5"/>
    <w:multiLevelType w:val="hybridMultilevel"/>
    <w:tmpl w:val="E020AC14"/>
    <w:lvl w:ilvl="0" w:tplc="1C88EC2E">
      <w:start w:val="2"/>
      <w:numFmt w:val="hebrew1"/>
      <w:lvlText w:val="%1."/>
      <w:lvlJc w:val="left"/>
      <w:pPr>
        <w:tabs>
          <w:tab w:val="num" w:pos="1203"/>
        </w:tabs>
        <w:ind w:left="1203" w:hanging="360"/>
      </w:pPr>
      <w:rPr>
        <w:rFonts w:cs="Times New Roman" w:hint="default"/>
        <w:b w:val="0"/>
        <w:bCs w:val="0"/>
        <w:sz w:val="2"/>
        <w:szCs w:val="24"/>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2643"/>
        </w:tabs>
        <w:ind w:left="2643" w:hanging="180"/>
      </w:pPr>
      <w:rPr>
        <w:rFonts w:cs="Times New Roman"/>
      </w:rPr>
    </w:lvl>
    <w:lvl w:ilvl="3" w:tplc="0409000F" w:tentative="1">
      <w:start w:val="1"/>
      <w:numFmt w:val="decimal"/>
      <w:lvlText w:val="%4."/>
      <w:lvlJc w:val="left"/>
      <w:pPr>
        <w:tabs>
          <w:tab w:val="num" w:pos="3363"/>
        </w:tabs>
        <w:ind w:left="3363" w:hanging="360"/>
      </w:pPr>
      <w:rPr>
        <w:rFonts w:cs="Times New Roman"/>
      </w:rPr>
    </w:lvl>
    <w:lvl w:ilvl="4" w:tplc="04090019" w:tentative="1">
      <w:start w:val="1"/>
      <w:numFmt w:val="lowerLetter"/>
      <w:lvlText w:val="%5."/>
      <w:lvlJc w:val="left"/>
      <w:pPr>
        <w:tabs>
          <w:tab w:val="num" w:pos="4083"/>
        </w:tabs>
        <w:ind w:left="4083" w:hanging="360"/>
      </w:pPr>
      <w:rPr>
        <w:rFonts w:cs="Times New Roman"/>
      </w:rPr>
    </w:lvl>
    <w:lvl w:ilvl="5" w:tplc="0409001B" w:tentative="1">
      <w:start w:val="1"/>
      <w:numFmt w:val="lowerRoman"/>
      <w:lvlText w:val="%6."/>
      <w:lvlJc w:val="right"/>
      <w:pPr>
        <w:tabs>
          <w:tab w:val="num" w:pos="4803"/>
        </w:tabs>
        <w:ind w:left="4803" w:hanging="180"/>
      </w:pPr>
      <w:rPr>
        <w:rFonts w:cs="Times New Roman"/>
      </w:rPr>
    </w:lvl>
    <w:lvl w:ilvl="6" w:tplc="0409000F" w:tentative="1">
      <w:start w:val="1"/>
      <w:numFmt w:val="decimal"/>
      <w:lvlText w:val="%7."/>
      <w:lvlJc w:val="left"/>
      <w:pPr>
        <w:tabs>
          <w:tab w:val="num" w:pos="5523"/>
        </w:tabs>
        <w:ind w:left="5523" w:hanging="360"/>
      </w:pPr>
      <w:rPr>
        <w:rFonts w:cs="Times New Roman"/>
      </w:rPr>
    </w:lvl>
    <w:lvl w:ilvl="7" w:tplc="04090019" w:tentative="1">
      <w:start w:val="1"/>
      <w:numFmt w:val="lowerLetter"/>
      <w:lvlText w:val="%8."/>
      <w:lvlJc w:val="left"/>
      <w:pPr>
        <w:tabs>
          <w:tab w:val="num" w:pos="6243"/>
        </w:tabs>
        <w:ind w:left="6243" w:hanging="360"/>
      </w:pPr>
      <w:rPr>
        <w:rFonts w:cs="Times New Roman"/>
      </w:rPr>
    </w:lvl>
    <w:lvl w:ilvl="8" w:tplc="0409001B" w:tentative="1">
      <w:start w:val="1"/>
      <w:numFmt w:val="lowerRoman"/>
      <w:lvlText w:val="%9."/>
      <w:lvlJc w:val="right"/>
      <w:pPr>
        <w:tabs>
          <w:tab w:val="num" w:pos="6963"/>
        </w:tabs>
        <w:ind w:left="6963" w:hanging="180"/>
      </w:pPr>
      <w:rPr>
        <w:rFonts w:cs="Times New Roman"/>
      </w:rPr>
    </w:lvl>
  </w:abstractNum>
  <w:num w:numId="1">
    <w:abstractNumId w:val="0"/>
  </w:num>
  <w:num w:numId="2">
    <w:abstractNumId w:val="3"/>
  </w:num>
  <w:num w:numId="3">
    <w:abstractNumId w:val="5"/>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52E9"/>
    <w:rsid w:val="00073693"/>
    <w:rsid w:val="0036596F"/>
    <w:rsid w:val="00486CD3"/>
    <w:rsid w:val="005C794D"/>
    <w:rsid w:val="0084307D"/>
    <w:rsid w:val="008E1C9A"/>
    <w:rsid w:val="00A53168"/>
    <w:rsid w:val="00BA4D87"/>
    <w:rsid w:val="00C52824"/>
    <w:rsid w:val="00C7209E"/>
    <w:rsid w:val="00C77137"/>
    <w:rsid w:val="00DB218F"/>
    <w:rsid w:val="00EB0E4C"/>
    <w:rsid w:val="00FB52E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65D4518-D5FA-4C17-A92F-E9257C0B5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B52E9"/>
    <w:pPr>
      <w:bidi/>
      <w:spacing w:after="0" w:line="240" w:lineRule="auto"/>
    </w:pPr>
    <w:rPr>
      <w:rFonts w:ascii="Times New Roman" w:eastAsia="Times New Roman" w:hAnsi="Times New Roman" w:cs="David"/>
      <w:noProo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FB52E9"/>
    <w:pPr>
      <w:tabs>
        <w:tab w:val="center" w:pos="4153"/>
        <w:tab w:val="right" w:pos="8306"/>
      </w:tabs>
    </w:pPr>
  </w:style>
  <w:style w:type="character" w:customStyle="1" w:styleId="a4">
    <w:name w:val="כותרת עליונה תו"/>
    <w:basedOn w:val="a0"/>
    <w:link w:val="a3"/>
    <w:uiPriority w:val="99"/>
    <w:rsid w:val="00FB52E9"/>
    <w:rPr>
      <w:rFonts w:ascii="Times New Roman" w:eastAsia="Times New Roman" w:hAnsi="Times New Roman" w:cs="David"/>
      <w:noProof/>
      <w:sz w:val="24"/>
      <w:szCs w:val="24"/>
    </w:rPr>
  </w:style>
  <w:style w:type="paragraph" w:styleId="a5">
    <w:name w:val="footer"/>
    <w:basedOn w:val="a"/>
    <w:link w:val="a6"/>
    <w:uiPriority w:val="99"/>
    <w:rsid w:val="00FB52E9"/>
    <w:pPr>
      <w:tabs>
        <w:tab w:val="center" w:pos="4153"/>
        <w:tab w:val="right" w:pos="8306"/>
      </w:tabs>
    </w:pPr>
  </w:style>
  <w:style w:type="character" w:customStyle="1" w:styleId="a6">
    <w:name w:val="כותרת תחתונה תו"/>
    <w:basedOn w:val="a0"/>
    <w:link w:val="a5"/>
    <w:uiPriority w:val="99"/>
    <w:rsid w:val="00FB52E9"/>
    <w:rPr>
      <w:rFonts w:ascii="Times New Roman" w:eastAsia="Times New Roman" w:hAnsi="Times New Roman" w:cs="David"/>
      <w:noProof/>
      <w:sz w:val="24"/>
      <w:szCs w:val="24"/>
    </w:rPr>
  </w:style>
  <w:style w:type="table" w:styleId="a7">
    <w:name w:val="Table Grid"/>
    <w:basedOn w:val="a1"/>
    <w:rsid w:val="00FB52E9"/>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page number"/>
    <w:basedOn w:val="a0"/>
    <w:uiPriority w:val="99"/>
    <w:rsid w:val="00FB52E9"/>
    <w:rPr>
      <w:rFonts w:cs="Times New Roman"/>
    </w:rPr>
  </w:style>
  <w:style w:type="paragraph" w:customStyle="1" w:styleId="normal-p">
    <w:name w:val="normal-p"/>
    <w:basedOn w:val="a"/>
    <w:uiPriority w:val="99"/>
    <w:rsid w:val="00FB52E9"/>
    <w:pPr>
      <w:bidi w:val="0"/>
      <w:spacing w:before="100" w:beforeAutospacing="1" w:after="100" w:afterAutospacing="1"/>
    </w:pPr>
    <w:rPr>
      <w:rFonts w:cs="Times New Roman"/>
      <w:noProof w:val="0"/>
    </w:rPr>
  </w:style>
  <w:style w:type="character" w:customStyle="1" w:styleId="normal-h">
    <w:name w:val="normal-h"/>
    <w:uiPriority w:val="99"/>
    <w:rsid w:val="00FB52E9"/>
  </w:style>
  <w:style w:type="paragraph" w:styleId="a9">
    <w:name w:val="List Paragraph"/>
    <w:basedOn w:val="a"/>
    <w:uiPriority w:val="34"/>
    <w:qFormat/>
    <w:rsid w:val="00FB52E9"/>
    <w:pPr>
      <w:ind w:left="720"/>
      <w:contextualSpacing/>
    </w:pPr>
  </w:style>
  <w:style w:type="paragraph" w:customStyle="1" w:styleId="P00">
    <w:name w:val="P00"/>
    <w:uiPriority w:val="99"/>
    <w:rsid w:val="00FB52E9"/>
    <w:pPr>
      <w:widowControl w:val="0"/>
      <w:tabs>
        <w:tab w:val="left" w:pos="624"/>
        <w:tab w:val="left" w:pos="1021"/>
        <w:tab w:val="left" w:pos="1474"/>
        <w:tab w:val="left" w:pos="1928"/>
        <w:tab w:val="left" w:pos="2381"/>
        <w:tab w:val="left" w:pos="2835"/>
        <w:tab w:val="right" w:leader="dot" w:pos="6259"/>
      </w:tabs>
      <w:suppressAutoHyphens/>
      <w:autoSpaceDE w:val="0"/>
      <w:autoSpaceDN w:val="0"/>
      <w:bidi/>
      <w:spacing w:before="60" w:after="0" w:line="240" w:lineRule="auto"/>
      <w:ind w:left="2835"/>
      <w:jc w:val="both"/>
    </w:pPr>
    <w:rPr>
      <w:rFonts w:ascii="Times New Roman" w:eastAsia="Times New Roman" w:hAnsi="Times New Roman" w:cs="Times New Roman"/>
      <w:noProof/>
      <w:sz w:val="20"/>
      <w:szCs w:val="26"/>
      <w:lang w:eastAsia="he-IL"/>
    </w:rPr>
  </w:style>
  <w:style w:type="character" w:customStyle="1" w:styleId="default">
    <w:name w:val="default"/>
    <w:uiPriority w:val="99"/>
    <w:rsid w:val="00FB52E9"/>
    <w:rPr>
      <w:rFonts w:ascii="Times New Roman" w:hAnsi="Times New Roman"/>
      <w:sz w:val="26"/>
    </w:rPr>
  </w:style>
  <w:style w:type="character" w:customStyle="1" w:styleId="big-number">
    <w:name w:val="big-number"/>
    <w:uiPriority w:val="99"/>
    <w:rsid w:val="00FB52E9"/>
    <w:rPr>
      <w:rFonts w:ascii="Times New Roman" w:hAnsi="Times New Roman"/>
      <w:sz w:val="32"/>
    </w:rPr>
  </w:style>
  <w:style w:type="paragraph" w:styleId="aa">
    <w:name w:val="Balloon Text"/>
    <w:basedOn w:val="a"/>
    <w:link w:val="ab"/>
    <w:uiPriority w:val="99"/>
    <w:semiHidden/>
    <w:unhideWhenUsed/>
    <w:rsid w:val="00FB52E9"/>
    <w:rPr>
      <w:rFonts w:ascii="Tahoma" w:hAnsi="Tahoma" w:cs="Tahoma"/>
      <w:sz w:val="16"/>
      <w:szCs w:val="16"/>
    </w:rPr>
  </w:style>
  <w:style w:type="character" w:customStyle="1" w:styleId="ab">
    <w:name w:val="טקסט בלונים תו"/>
    <w:basedOn w:val="a0"/>
    <w:link w:val="aa"/>
    <w:uiPriority w:val="99"/>
    <w:semiHidden/>
    <w:rsid w:val="00FB52E9"/>
    <w:rPr>
      <w:rFonts w:ascii="Tahoma" w:eastAsia="Times New Roman" w:hAnsi="Tahoma" w:cs="Tahoma"/>
      <w:noProof/>
      <w:sz w:val="16"/>
      <w:szCs w:val="16"/>
    </w:rPr>
  </w:style>
  <w:style w:type="character" w:styleId="ac">
    <w:name w:val="line number"/>
    <w:basedOn w:val="a0"/>
    <w:uiPriority w:val="99"/>
    <w:semiHidden/>
    <w:unhideWhenUsed/>
    <w:rsid w:val="00FB52E9"/>
  </w:style>
  <w:style w:type="paragraph" w:customStyle="1" w:styleId="1">
    <w:name w:val="פיסקת רשימה1"/>
    <w:basedOn w:val="a"/>
    <w:qFormat/>
    <w:rsid w:val="00DB218F"/>
    <w:pPr>
      <w:ind w:left="720"/>
      <w:contextualSpacing/>
    </w:pPr>
  </w:style>
  <w:style w:type="character" w:styleId="ad">
    <w:name w:val="Placeholder Text"/>
    <w:basedOn w:val="a0"/>
    <w:uiPriority w:val="99"/>
    <w:semiHidden/>
    <w:rsid w:val="00DB218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7829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glossaryDocument" Target="glossary/document.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F3850737B7D248F0BBD3FC02E27C1ABE"/>
        <w:category>
          <w:name w:val="כללי"/>
          <w:gallery w:val="placeholder"/>
        </w:category>
        <w:types>
          <w:type w:val="bbPlcHdr"/>
        </w:types>
        <w:behaviors>
          <w:behavior w:val="content"/>
        </w:behaviors>
        <w:guid w:val="{C57974C2-9C23-4A28-8773-8CD2D31B86FE}"/>
      </w:docPartPr>
      <w:docPartBody>
        <w:p w:rsidR="007402C7" w:rsidRDefault="00B05989" w:rsidP="00B05989">
          <w:pPr>
            <w:pStyle w:val="F3850737B7D248F0BBD3FC02E27C1ABE"/>
          </w:pPr>
          <w:r>
            <w:rPr>
              <w:rStyle w:val="a3"/>
              <w:rtl/>
            </w:rPr>
            <w:t>תאור קבוצת שייכות צד א</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5989"/>
    <w:rsid w:val="005A313A"/>
    <w:rsid w:val="006B393C"/>
    <w:rsid w:val="007402C7"/>
    <w:rsid w:val="00A67D8E"/>
    <w:rsid w:val="00B0598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5989"/>
  </w:style>
  <w:style w:type="paragraph" w:customStyle="1" w:styleId="F3850737B7D248F0BBD3FC02E27C1ABE">
    <w:name w:val="F3850737B7D248F0BBD3FC02E27C1ABE"/>
    <w:rsid w:val="00B05989"/>
    <w:pPr>
      <w:bidi/>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7670</Words>
  <Characters>38354</Characters>
  <Application>Microsoft Office Word</Application>
  <DocSecurity>0</DocSecurity>
  <Lines>319</Lines>
  <Paragraphs>91</Paragraphs>
  <ScaleCrop>false</ScaleCrop>
  <HeadingPairs>
    <vt:vector size="2" baseType="variant">
      <vt:variant>
        <vt:lpstr>שם</vt:lpstr>
      </vt:variant>
      <vt:variant>
        <vt:i4>1</vt:i4>
      </vt:variant>
    </vt:vector>
  </HeadingPairs>
  <TitlesOfParts>
    <vt:vector size="1" baseType="lpstr">
      <vt:lpstr/>
    </vt:vector>
  </TitlesOfParts>
  <Company>Court Profile</Company>
  <LinksUpToDate>false</LinksUpToDate>
  <CharactersWithSpaces>45933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court</dc:creator>
  <cp:lastModifiedBy>אסתר טטרואשילי</cp:lastModifiedBy>
  <cp:revision>2</cp:revision>
  <dcterms:created xsi:type="dcterms:W3CDTF">2024-08-08T07:41:00Z</dcterms:created>
  <dcterms:modified xsi:type="dcterms:W3CDTF">2024-08-08T07:41:00Z</dcterms:modified>
</cp:coreProperties>
</file>